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9"/>
        <w:spacing w:line="560" w:lineRule="exact"/>
        <w:rPr>
          <w:rFonts w:ascii="Times New Roman" w:hAnsi="Times New Roman"/>
          <w:sz w:val="36"/>
          <w:szCs w:val="20"/>
        </w:rPr>
      </w:pPr>
      <w:r>
        <w:rPr>
          <w:rFonts w:ascii="Times New Roman" w:hAnsi="Times New Roman"/>
          <w:sz w:val="36"/>
          <w:szCs w:val="20"/>
        </w:rPr>
        <w:t>北京市自然科学基金面上项目指南</w:t>
      </w:r>
    </w:p>
    <w:p>
      <w:pPr>
        <w:pStyle w:val="11"/>
        <w:rPr>
          <w:rFonts w:ascii="Times New Roman" w:hAnsi="Times New Roman"/>
          <w:sz w:val="32"/>
        </w:rPr>
      </w:pPr>
      <w:r>
        <w:rPr>
          <w:rFonts w:hint="eastAsia" w:ascii="Times New Roman" w:hAnsi="Times New Roman"/>
          <w:sz w:val="32"/>
        </w:rPr>
        <w:t>（202</w:t>
      </w:r>
      <w:r>
        <w:rPr>
          <w:rFonts w:hint="eastAsia" w:ascii="Times New Roman" w:hAnsi="Times New Roman"/>
          <w:sz w:val="32"/>
          <w:lang w:val="en-US" w:eastAsia="zh-CN"/>
        </w:rPr>
        <w:t>4</w:t>
      </w:r>
      <w:r>
        <w:rPr>
          <w:rFonts w:hint="eastAsia" w:ascii="Times New Roman" w:hAnsi="Times New Roman"/>
          <w:sz w:val="32"/>
        </w:rPr>
        <w:t>年度）</w:t>
      </w:r>
    </w:p>
    <w:p>
      <w:pPr>
        <w:pStyle w:val="11"/>
        <w:pageBreakBefore w:val="0"/>
        <w:kinsoku/>
        <w:wordWrap/>
        <w:overflowPunct/>
        <w:topLinePunct w:val="0"/>
        <w:autoSpaceDE/>
        <w:autoSpaceDN/>
        <w:bidi w:val="0"/>
        <w:adjustRightInd/>
        <w:spacing w:line="560" w:lineRule="exact"/>
        <w:jc w:val="center"/>
        <w:textAlignment w:val="auto"/>
        <w:rPr>
          <w:rFonts w:ascii="Times New Roman" w:hAnsi="Times New Roman" w:eastAsia="黑体"/>
          <w:color w:val="auto"/>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22"/>
          <w:highlight w:val="none"/>
        </w:rPr>
      </w:pPr>
      <w:r>
        <w:rPr>
          <w:rFonts w:ascii="Times New Roman" w:hAnsi="Times New Roman" w:eastAsia="黑体"/>
          <w:b w:val="0"/>
          <w:bCs w:val="0"/>
          <w:color w:val="auto"/>
          <w:sz w:val="32"/>
          <w:szCs w:val="22"/>
          <w:highlight w:val="none"/>
        </w:rPr>
        <w:t>数理科学</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一、数学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数学是自然科学的基础，也是重大技术发展的基础，“高技术本质上是数学技术”已经成为当代国际社会的普遍共识。北京市自然科学基金鼓励北京市属高等院校、科研院所及其他有条件的单位，根据当前数学发展的特点和趋势，针对数学中的重要问题和公开问题开展原创性研究，鼓励数学不同分支学科之间的相互交叉和渗透，鼓励来自于应用领域的数学问题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1.基础数学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2.应用数学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3.计算数学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4.大数据与人工智能的数学理论</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本年度鼓励科研人员</w:t>
      </w:r>
      <w:r>
        <w:rPr>
          <w:rFonts w:hint="eastAsia" w:ascii="Times New Roman" w:hAnsi="Times New Roman"/>
          <w:color w:val="auto"/>
          <w:sz w:val="32"/>
          <w:szCs w:val="32"/>
          <w:highlight w:val="none"/>
        </w:rPr>
        <w:t>面向基础数学国际前沿及国家重大需求驱动的应用数学，</w:t>
      </w:r>
      <w:r>
        <w:rPr>
          <w:rFonts w:hint="eastAsia" w:ascii="Times New Roman" w:hAnsi="Times New Roman"/>
          <w:color w:val="auto"/>
          <w:sz w:val="32"/>
          <w:szCs w:val="32"/>
          <w:highlight w:val="none"/>
          <w:lang w:eastAsia="zh-CN"/>
        </w:rPr>
        <w:t>重点</w:t>
      </w:r>
      <w:r>
        <w:rPr>
          <w:rFonts w:hint="eastAsia" w:ascii="Times New Roman" w:hAnsi="Times New Roman"/>
          <w:color w:val="auto"/>
          <w:sz w:val="32"/>
          <w:szCs w:val="32"/>
          <w:highlight w:val="none"/>
        </w:rPr>
        <w:t>围绕代数与几何、现代分析、微分方程、统计与运筹、计算数学等前沿方向开展基础研究。</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二、物理</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1.凝聚态物理</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2.原子和分子物理</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3.光学和声学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4.核技术及其应用</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5.等离子体物理</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lang w:eastAsia="zh-CN"/>
        </w:rPr>
      </w:pPr>
      <w:r>
        <w:rPr>
          <w:rFonts w:ascii="Times New Roman" w:hAnsi="Times New Roman"/>
          <w:color w:val="auto"/>
          <w:sz w:val="32"/>
          <w:szCs w:val="32"/>
          <w:highlight w:val="none"/>
        </w:rPr>
        <w:t>6.</w:t>
      </w:r>
      <w:r>
        <w:rPr>
          <w:rFonts w:hint="eastAsia" w:ascii="Times New Roman" w:hAnsi="Times New Roman"/>
          <w:color w:val="auto"/>
          <w:sz w:val="32"/>
          <w:szCs w:val="32"/>
          <w:highlight w:val="none"/>
          <w:lang w:eastAsia="zh-CN"/>
        </w:rPr>
        <w:t>天文学</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7.地球物理学和空间物理学</w:t>
      </w:r>
    </w:p>
    <w:p>
      <w:pPr>
        <w:pStyle w:val="10"/>
        <w:pageBreakBefore w:val="0"/>
        <w:kinsoku/>
        <w:wordWrap/>
        <w:overflowPunct/>
        <w:topLinePunct w:val="0"/>
        <w:autoSpaceDE/>
        <w:autoSpaceDN/>
        <w:bidi w:val="0"/>
        <w:adjustRightInd/>
        <w:spacing w:line="560" w:lineRule="exact"/>
        <w:ind w:firstLine="600"/>
        <w:textAlignment w:val="auto"/>
        <w:rPr>
          <w:rFonts w:hint="default"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8.量子信息与量子计算中的物理问题</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本年度鼓励科研人员面向物质结构、物态调控、量子科技基础、地球与行星及其演化等重大科学前沿，重点围绕先进物质设计制备、表征、构效关系，新型物质体系构筑与调控，物质科学研究新范式、天体形成与演化、空间物理与行星物理、试验与探测的新原理和新方法、地球与行星内部资源、人类宜居环境的变化特征与机理等前沿方向开展基础研究。</w:t>
      </w:r>
    </w:p>
    <w:p>
      <w:pPr>
        <w:pStyle w:val="10"/>
        <w:pageBreakBefore w:val="0"/>
        <w:kinsoku/>
        <w:wordWrap/>
        <w:overflowPunct/>
        <w:topLinePunct w:val="0"/>
        <w:autoSpaceDE/>
        <w:autoSpaceDN/>
        <w:bidi w:val="0"/>
        <w:adjustRightInd/>
        <w:spacing w:line="560" w:lineRule="exact"/>
        <w:ind w:firstLine="0" w:firstLineChars="0"/>
        <w:textAlignment w:val="auto"/>
        <w:rPr>
          <w:rFonts w:ascii="Times New Roman" w:hAnsi="Times New Roman"/>
          <w:color w:val="auto"/>
          <w:sz w:val="32"/>
          <w:szCs w:val="32"/>
          <w:highlight w:val="none"/>
        </w:rPr>
      </w:pPr>
    </w:p>
    <w:p>
      <w:pPr>
        <w:pStyle w:val="10"/>
        <w:pageBreakBefore w:val="0"/>
        <w:kinsoku/>
        <w:wordWrap/>
        <w:overflowPunct/>
        <w:topLinePunct w:val="0"/>
        <w:autoSpaceDE/>
        <w:autoSpaceDN/>
        <w:bidi w:val="0"/>
        <w:adjustRightInd/>
        <w:spacing w:line="560" w:lineRule="exact"/>
        <w:ind w:firstLine="0" w:firstLineChars="0"/>
        <w:textAlignment w:val="auto"/>
        <w:rPr>
          <w:rFonts w:ascii="Times New Roman" w:hAnsi="Times New Roman"/>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化学与材料科学</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一、化学化工</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化学新材料、绿色化工、食品安全、生物传感和生物制造等领域中开展基础和应用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w:t>
      </w:r>
      <w:r>
        <w:rPr>
          <w:rFonts w:ascii="Times New Roman" w:hAnsi="Times New Roman"/>
          <w:sz w:val="32"/>
          <w:szCs w:val="32"/>
        </w:rPr>
        <w:t>.新型功能分子的设计与合成</w:t>
      </w:r>
    </w:p>
    <w:p>
      <w:pPr>
        <w:pStyle w:val="10"/>
        <w:ind w:firstLine="640"/>
        <w:rPr>
          <w:rFonts w:ascii="Times New Roman" w:hAnsi="Times New Roman"/>
          <w:sz w:val="32"/>
          <w:szCs w:val="32"/>
        </w:rPr>
      </w:pPr>
      <w:r>
        <w:rPr>
          <w:rFonts w:hint="eastAsia" w:ascii="Times New Roman" w:hAnsi="Times New Roman"/>
          <w:sz w:val="32"/>
          <w:szCs w:val="32"/>
          <w:lang w:val="en-US" w:eastAsia="zh-CN"/>
        </w:rPr>
        <w:t>2</w:t>
      </w:r>
      <w:r>
        <w:rPr>
          <w:rFonts w:ascii="Times New Roman" w:hAnsi="Times New Roman"/>
          <w:sz w:val="32"/>
          <w:szCs w:val="32"/>
        </w:rPr>
        <w:t>.新型催化剂、高效分离材料的创制</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ascii="Times New Roman" w:hAnsi="Times New Roman"/>
          <w:sz w:val="32"/>
          <w:szCs w:val="32"/>
        </w:rPr>
        <w:t>.生物分子的检测与功能化</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.绿色介质及绿色化工新过程</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.食品、药品制备过程的化学化工基础</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.可再生及废弃物资源化绿色利用的化工基础</w:t>
      </w:r>
    </w:p>
    <w:p>
      <w:pPr>
        <w:pStyle w:val="10"/>
        <w:ind w:firstLine="640"/>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.高能量密度/大功率、长寿命电池体系的基础研究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color w:val="auto"/>
          <w:sz w:val="32"/>
          <w:szCs w:val="32"/>
          <w:highlight w:val="none"/>
          <w:lang w:eastAsia="zh-CN"/>
        </w:rPr>
        <w:t>本年度鼓励科研人员</w:t>
      </w:r>
      <w:r>
        <w:rPr>
          <w:rFonts w:hint="eastAsia" w:ascii="仿宋_GB2312" w:hAnsi="仿宋_GB2312" w:eastAsia="仿宋_GB2312" w:cs="仿宋_GB2312"/>
          <w:color w:val="auto"/>
          <w:sz w:val="32"/>
          <w:szCs w:val="32"/>
        </w:rPr>
        <w:t>面向物质精准合成、功能调控机制、能量转化等化学前沿问题，</w:t>
      </w:r>
      <w:r>
        <w:rPr>
          <w:rFonts w:hint="eastAsia" w:hAnsi="仿宋_GB2312" w:cs="仿宋_GB2312"/>
          <w:color w:val="auto"/>
          <w:sz w:val="32"/>
          <w:szCs w:val="32"/>
          <w:lang w:eastAsia="zh-CN"/>
        </w:rPr>
        <w:t>重点</w:t>
      </w:r>
      <w:r>
        <w:rPr>
          <w:rFonts w:hint="eastAsia" w:ascii="仿宋_GB2312" w:hAnsi="仿宋_GB2312" w:eastAsia="仿宋_GB2312" w:cs="仿宋_GB2312"/>
          <w:color w:val="auto"/>
          <w:sz w:val="32"/>
          <w:szCs w:val="32"/>
        </w:rPr>
        <w:t>围绕化学理论与机制、合成化学、催化与表界面化学、环境化学、化学生物学、材料化学、能源化学等前沿方向开展基础研究。</w:t>
      </w:r>
    </w:p>
    <w:p>
      <w:pPr>
        <w:pStyle w:val="11"/>
        <w:pageBreakBefore w:val="0"/>
        <w:kinsoku/>
        <w:wordWrap/>
        <w:overflowPunct/>
        <w:topLinePunct w:val="0"/>
        <w:autoSpaceDE/>
        <w:autoSpaceDN/>
        <w:bidi w:val="0"/>
        <w:adjustRightInd/>
        <w:spacing w:line="560" w:lineRule="exact"/>
        <w:jc w:val="left"/>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二、材料科学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材料是经济建设、社会进步和国家安全的物质基础和先导。根据北京市国民经济、科技发展需求和高新产业发展的战略目标，并结合北京地区材料领域科研发展现状和优势，本学科主要资助与节能减排、新能源、资源循环再生、低碳经济相关的材料科学问题研究。</w:t>
      </w:r>
    </w:p>
    <w:p>
      <w:pPr>
        <w:pStyle w:val="10"/>
        <w:ind w:firstLine="640"/>
        <w:rPr>
          <w:rFonts w:ascii="Times New Roman" w:hAnsi="Times New Roman"/>
          <w:sz w:val="32"/>
          <w:szCs w:val="32"/>
        </w:rPr>
      </w:pPr>
      <w:r>
        <w:rPr>
          <w:rFonts w:ascii="Times New Roman" w:hAnsi="Times New Roman"/>
          <w:sz w:val="32"/>
          <w:szCs w:val="32"/>
        </w:rPr>
        <w:t>1.低维材料的制备与性能调控</w:t>
      </w:r>
    </w:p>
    <w:p>
      <w:pPr>
        <w:pStyle w:val="10"/>
        <w:ind w:firstLine="640"/>
        <w:rPr>
          <w:rFonts w:ascii="Times New Roman" w:hAnsi="Times New Roman"/>
          <w:sz w:val="32"/>
          <w:szCs w:val="32"/>
        </w:rPr>
      </w:pPr>
      <w:r>
        <w:rPr>
          <w:rFonts w:ascii="Times New Roman" w:hAnsi="Times New Roman"/>
          <w:sz w:val="32"/>
          <w:szCs w:val="32"/>
        </w:rPr>
        <w:t>2.新一代信息功能材料与器件</w:t>
      </w:r>
    </w:p>
    <w:p>
      <w:pPr>
        <w:pStyle w:val="10"/>
        <w:ind w:firstLine="640"/>
        <w:rPr>
          <w:rFonts w:ascii="Times New Roman" w:hAnsi="Times New Roman"/>
          <w:sz w:val="32"/>
          <w:szCs w:val="32"/>
        </w:rPr>
      </w:pPr>
      <w:r>
        <w:rPr>
          <w:rFonts w:ascii="Times New Roman" w:hAnsi="Times New Roman"/>
          <w:sz w:val="32"/>
          <w:szCs w:val="32"/>
        </w:rPr>
        <w:t>3.汽车轻量化关键材料的基础研究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.新材料的设计、制备与性能调控</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.生物医用关键材料的设计与制备</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.基于材料基因工程的高通量计算方法与数据库构建</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.材料环境负荷评价、服役行为、失效与防护研究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color w:val="auto"/>
          <w:sz w:val="32"/>
          <w:szCs w:val="32"/>
          <w:highlight w:val="none"/>
          <w:lang w:eastAsia="zh-CN"/>
        </w:rPr>
        <w:t>本年度鼓励科研人员</w:t>
      </w:r>
      <w:r>
        <w:rPr>
          <w:rFonts w:hint="eastAsia" w:ascii="Times New Roman" w:hAnsi="Times New Roman"/>
          <w:sz w:val="32"/>
          <w:szCs w:val="32"/>
          <w:lang w:eastAsia="zh-CN"/>
        </w:rPr>
        <w:t>重点</w:t>
      </w:r>
      <w:r>
        <w:rPr>
          <w:rFonts w:hint="eastAsia" w:ascii="Times New Roman" w:hAnsi="Times New Roman"/>
          <w:sz w:val="32"/>
          <w:szCs w:val="32"/>
        </w:rPr>
        <w:t>围绕光电功能材料、第三代半导体材料、新型显示材料、纳米材料、合金材料、高端光学元器件材料等前沿方向开展基础研究。</w:t>
      </w:r>
    </w:p>
    <w:p>
      <w:pPr>
        <w:pStyle w:val="11"/>
        <w:pageBreakBefore w:val="0"/>
        <w:kinsoku/>
        <w:wordWrap/>
        <w:overflowPunct/>
        <w:topLinePunct w:val="0"/>
        <w:autoSpaceDE/>
        <w:autoSpaceDN/>
        <w:bidi w:val="0"/>
        <w:adjustRightInd/>
        <w:spacing w:line="560" w:lineRule="exact"/>
        <w:jc w:val="left"/>
        <w:textAlignment w:val="auto"/>
        <w:rPr>
          <w:rFonts w:ascii="Times New Roman" w:hAnsi="Times New Roman"/>
          <w:color w:val="auto"/>
          <w:sz w:val="32"/>
          <w:szCs w:val="32"/>
          <w:highlight w:val="none"/>
        </w:rPr>
      </w:pPr>
    </w:p>
    <w:p>
      <w:pPr>
        <w:pStyle w:val="11"/>
        <w:pageBreakBefore w:val="0"/>
        <w:kinsoku/>
        <w:wordWrap/>
        <w:overflowPunct/>
        <w:topLinePunct w:val="0"/>
        <w:autoSpaceDE/>
        <w:autoSpaceDN/>
        <w:bidi w:val="0"/>
        <w:adjustRightInd/>
        <w:spacing w:line="560" w:lineRule="exact"/>
        <w:jc w:val="both"/>
        <w:textAlignment w:val="auto"/>
        <w:rPr>
          <w:rFonts w:ascii="Times New Roman" w:hAnsi="Times New Roman"/>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生物科学</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生物科学是自然科学的一大门类，研究范围包括生命的起源、演化、分布、构造、发育、功能、行为、与环境的互动关系等。北京市自然科学基金鼓励利用北京地区的学科优势，围绕生物科学研究中的重要前沿和新兴领域，开展创新性研究。</w:t>
      </w:r>
    </w:p>
    <w:p>
      <w:pPr>
        <w:pStyle w:val="10"/>
        <w:ind w:firstLine="640"/>
        <w:rPr>
          <w:rFonts w:ascii="Times New Roman" w:hAnsi="Times New Roman"/>
          <w:sz w:val="32"/>
          <w:szCs w:val="32"/>
        </w:rPr>
      </w:pPr>
      <w:r>
        <w:rPr>
          <w:rFonts w:ascii="Times New Roman" w:hAnsi="Times New Roman"/>
          <w:sz w:val="32"/>
          <w:szCs w:val="32"/>
        </w:rPr>
        <w:t>1.生物大分子的功能、修饰及调节机制</w:t>
      </w:r>
    </w:p>
    <w:p>
      <w:pPr>
        <w:pStyle w:val="10"/>
        <w:ind w:firstLine="640"/>
        <w:rPr>
          <w:rFonts w:ascii="Times New Roman" w:hAnsi="Times New Roman"/>
          <w:sz w:val="32"/>
          <w:szCs w:val="32"/>
        </w:rPr>
      </w:pPr>
      <w:r>
        <w:rPr>
          <w:rFonts w:ascii="Times New Roman" w:hAnsi="Times New Roman"/>
          <w:sz w:val="32"/>
          <w:szCs w:val="32"/>
        </w:rPr>
        <w:t>2.细胞增殖、分化、衰老、死亡及应激调控的分子机制</w:t>
      </w:r>
    </w:p>
    <w:p>
      <w:pPr>
        <w:pStyle w:val="10"/>
        <w:ind w:firstLine="640"/>
        <w:rPr>
          <w:rFonts w:ascii="Times New Roman" w:hAnsi="Times New Roman"/>
          <w:sz w:val="32"/>
          <w:szCs w:val="32"/>
        </w:rPr>
      </w:pPr>
      <w:r>
        <w:rPr>
          <w:rFonts w:ascii="Times New Roman" w:hAnsi="Times New Roman"/>
          <w:sz w:val="32"/>
          <w:szCs w:val="32"/>
        </w:rPr>
        <w:t>3.干细胞的干性维持、谱系发育及定向分化</w:t>
      </w:r>
    </w:p>
    <w:p>
      <w:pPr>
        <w:pStyle w:val="10"/>
        <w:ind w:firstLine="640"/>
        <w:rPr>
          <w:rFonts w:ascii="Times New Roman" w:hAnsi="Times New Roman"/>
          <w:sz w:val="32"/>
          <w:szCs w:val="32"/>
        </w:rPr>
      </w:pPr>
      <w:r>
        <w:rPr>
          <w:rFonts w:ascii="Times New Roman" w:hAnsi="Times New Roman"/>
          <w:sz w:val="32"/>
          <w:szCs w:val="32"/>
        </w:rPr>
        <w:t>4.免疫应答与效应的细胞分子机制</w:t>
      </w:r>
    </w:p>
    <w:p>
      <w:pPr>
        <w:pStyle w:val="10"/>
        <w:ind w:firstLine="640"/>
        <w:rPr>
          <w:rFonts w:ascii="Times New Roman" w:hAnsi="Times New Roman"/>
          <w:sz w:val="32"/>
          <w:szCs w:val="32"/>
        </w:rPr>
      </w:pPr>
      <w:r>
        <w:rPr>
          <w:rFonts w:ascii="Times New Roman" w:hAnsi="Times New Roman"/>
          <w:sz w:val="32"/>
          <w:szCs w:val="32"/>
        </w:rPr>
        <w:t>5.认知的心理过程和神经机制</w:t>
      </w:r>
    </w:p>
    <w:p>
      <w:pPr>
        <w:pStyle w:val="10"/>
        <w:ind w:firstLine="640"/>
        <w:rPr>
          <w:rFonts w:ascii="Times New Roman" w:hAnsi="Times New Roman"/>
          <w:sz w:val="32"/>
          <w:szCs w:val="32"/>
        </w:rPr>
      </w:pPr>
      <w:r>
        <w:rPr>
          <w:rFonts w:ascii="Times New Roman" w:hAnsi="Times New Roman"/>
          <w:sz w:val="32"/>
          <w:szCs w:val="32"/>
        </w:rPr>
        <w:t>6.京津冀生物多样性维持机制及其功能</w:t>
      </w:r>
    </w:p>
    <w:p>
      <w:pPr>
        <w:pStyle w:val="10"/>
        <w:ind w:firstLine="640"/>
        <w:rPr>
          <w:rFonts w:ascii="Times New Roman" w:hAnsi="Times New Roman"/>
          <w:sz w:val="32"/>
          <w:szCs w:val="32"/>
        </w:rPr>
      </w:pPr>
      <w:r>
        <w:rPr>
          <w:rFonts w:ascii="Times New Roman" w:hAnsi="Times New Roman"/>
          <w:sz w:val="32"/>
          <w:szCs w:val="32"/>
        </w:rPr>
        <w:t>7.生态修复与生态系统服务的应用基础研究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ascii="Times New Roman" w:hAnsi="Times New Roman"/>
          <w:sz w:val="32"/>
          <w:szCs w:val="32"/>
        </w:rPr>
        <w:t>8.生物科学中的前沿技术与方法研究</w:t>
      </w:r>
    </w:p>
    <w:p>
      <w:pPr>
        <w:pStyle w:val="10"/>
        <w:keepNext w:val="0"/>
        <w:keepLines w:val="0"/>
        <w:pageBreakBefore w:val="0"/>
        <w:widowControl w:val="0"/>
        <w:kinsoku/>
        <w:wordWrap/>
        <w:overflowPunct/>
        <w:topLinePunct w:val="0"/>
        <w:autoSpaceDE/>
        <w:autoSpaceDN/>
        <w:bidi w:val="0"/>
        <w:adjustRightInd/>
        <w:snapToGrid w:val="0"/>
        <w:spacing w:line="560" w:lineRule="exact"/>
        <w:ind w:firstLine="600"/>
        <w:textAlignment w:val="auto"/>
        <w:rPr>
          <w:rFonts w:hint="eastAsia" w:ascii="Times New Roman" w:hAnsi="Times New Roman"/>
          <w:sz w:val="32"/>
          <w:szCs w:val="32"/>
        </w:rPr>
      </w:pPr>
      <w:r>
        <w:rPr>
          <w:rFonts w:hint="eastAsia" w:ascii="Times New Roman" w:hAnsi="Times New Roman"/>
          <w:sz w:val="32"/>
          <w:szCs w:val="32"/>
          <w:lang w:eastAsia="zh-CN"/>
        </w:rPr>
        <w:t>本年度鼓励科研人员重点</w:t>
      </w:r>
      <w:r>
        <w:rPr>
          <w:rFonts w:hint="eastAsia" w:ascii="Times New Roman" w:hAnsi="Times New Roman"/>
          <w:sz w:val="32"/>
          <w:szCs w:val="32"/>
        </w:rPr>
        <w:t>围绕干细胞与再生医学、脑科学与类脑研究、</w:t>
      </w:r>
      <w:r>
        <w:rPr>
          <w:rFonts w:hint="eastAsia" w:ascii="Times New Roman" w:hAnsi="Times New Roman"/>
          <w:color w:val="auto"/>
          <w:sz w:val="32"/>
          <w:szCs w:val="32"/>
          <w:highlight w:val="none"/>
        </w:rPr>
        <w:t>结构</w:t>
      </w:r>
      <w:r>
        <w:rPr>
          <w:rFonts w:hint="eastAsia" w:ascii="Times New Roman" w:hAnsi="Times New Roman"/>
          <w:sz w:val="32"/>
          <w:szCs w:val="32"/>
        </w:rPr>
        <w:t>生物学、合成生物学、生命科学新技术和新方法等领域开展基础研究。</w:t>
      </w:r>
    </w:p>
    <w:p>
      <w:pPr>
        <w:pStyle w:val="11"/>
        <w:pageBreakBefore w:val="0"/>
        <w:kinsoku/>
        <w:wordWrap/>
        <w:overflowPunct/>
        <w:topLinePunct w:val="0"/>
        <w:autoSpaceDE/>
        <w:autoSpaceDN/>
        <w:bidi w:val="0"/>
        <w:adjustRightInd/>
        <w:spacing w:line="560" w:lineRule="exact"/>
        <w:jc w:val="both"/>
        <w:textAlignment w:val="auto"/>
        <w:rPr>
          <w:rFonts w:hint="eastAsia" w:ascii="Times New Roman" w:hAnsi="Times New Roman"/>
          <w:sz w:val="32"/>
          <w:szCs w:val="32"/>
        </w:rPr>
      </w:pPr>
    </w:p>
    <w:p>
      <w:pPr>
        <w:pStyle w:val="11"/>
        <w:pageBreakBefore w:val="0"/>
        <w:kinsoku/>
        <w:wordWrap/>
        <w:overflowPunct/>
        <w:topLinePunct w:val="0"/>
        <w:autoSpaceDE/>
        <w:autoSpaceDN/>
        <w:bidi w:val="0"/>
        <w:adjustRightInd/>
        <w:spacing w:line="560" w:lineRule="exact"/>
        <w:jc w:val="both"/>
        <w:textAlignment w:val="auto"/>
        <w:rPr>
          <w:rFonts w:hint="eastAsia" w:ascii="Times New Roman" w:hAnsi="Times New Roman"/>
          <w:sz w:val="32"/>
          <w:szCs w:val="32"/>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信息科学</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一、信息与通信工程</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信息与通信技术已经渗透到全球的各个角落，促进了人类经济与文化的不断发展。北京作为信息化高新技术产业的中心城市，在信息与通信基础理论研究、研发及产业化等方面均处于国内领先水平，形成了企业、高校与科研院所相结合的科技创新体系，在推动工业与信息化深度融合方面具有优势。本学科主要资助信息理论与信息系统、通信理论与系统、信号理论与信号处理、电路与系统、电磁场与波、物理电子学、敏感电子学与传感器、信息处理方法与技术等方面的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w:t>
      </w:r>
      <w:r>
        <w:rPr>
          <w:rFonts w:ascii="Times New Roman" w:hAnsi="Times New Roman"/>
          <w:sz w:val="32"/>
          <w:szCs w:val="32"/>
        </w:rPr>
        <w:t>.通信、计算、控制协同融合理论与方法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2</w:t>
      </w:r>
      <w:r>
        <w:rPr>
          <w:rFonts w:ascii="Times New Roman" w:hAnsi="Times New Roman"/>
          <w:sz w:val="32"/>
          <w:szCs w:val="32"/>
        </w:rPr>
        <w:t>.大规模信号获取、处理理论与方法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ascii="Times New Roman" w:hAnsi="Times New Roman"/>
          <w:sz w:val="32"/>
          <w:szCs w:val="32"/>
        </w:rPr>
        <w:t>.信息的智能感知、传输与处理理论与方法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.新频谱特性及其高效利用的理论与方法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.多模态信息处理方法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.面向工业互联网、车联网、物联网应用场景的组网理论与关键技术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.超高频谱效率、超大链接和超低时延的通信理论与关键技术</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本年度鼓励科研人员</w:t>
      </w:r>
      <w:r>
        <w:rPr>
          <w:rFonts w:hint="eastAsia" w:ascii="仿宋_GB2312" w:hAnsi="仿宋_GB2312" w:eastAsia="仿宋_GB2312" w:cs="仿宋_GB2312"/>
          <w:color w:val="auto"/>
          <w:sz w:val="32"/>
          <w:szCs w:val="32"/>
        </w:rPr>
        <w:t>面向人工智能、融合通信等信息科学前沿问题，</w:t>
      </w:r>
      <w:r>
        <w:rPr>
          <w:rFonts w:hint="eastAsia" w:hAnsi="仿宋_GB2312" w:cs="仿宋_GB2312"/>
          <w:color w:val="auto"/>
          <w:sz w:val="32"/>
          <w:szCs w:val="32"/>
          <w:lang w:eastAsia="zh-CN"/>
        </w:rPr>
        <w:t>重点</w:t>
      </w:r>
      <w:r>
        <w:rPr>
          <w:rFonts w:hint="eastAsia" w:ascii="仿宋_GB2312" w:hAnsi="仿宋_GB2312" w:eastAsia="仿宋_GB2312" w:cs="仿宋_GB2312"/>
          <w:color w:val="auto"/>
          <w:sz w:val="32"/>
          <w:szCs w:val="32"/>
        </w:rPr>
        <w:t>围绕语义通信、通感算融合、空天地协同通信等前沿方向开展基础研究。</w:t>
      </w:r>
    </w:p>
    <w:p>
      <w:pPr>
        <w:pStyle w:val="11"/>
        <w:pageBreakBefore w:val="0"/>
        <w:kinsoku/>
        <w:wordWrap/>
        <w:overflowPunct/>
        <w:topLinePunct w:val="0"/>
        <w:autoSpaceDE/>
        <w:autoSpaceDN/>
        <w:bidi w:val="0"/>
        <w:adjustRightInd/>
        <w:spacing w:line="560" w:lineRule="exact"/>
        <w:jc w:val="both"/>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二、计算机与城市信息化</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计算机科学与技术是信息科学中研究最活跃、发展最迅速、应用最广泛的领域之一。加强本学科的基础研究，对构建智慧城市和加速城市信息化建设具有重要的意义。本学科资助计算机科学的基础理论、计算机软件、计算机体系结构、计算机硬件技术、自然语言理解与机器翻译、信息安全、计算机网络等方面的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w:t>
      </w:r>
      <w:r>
        <w:rPr>
          <w:rFonts w:ascii="Times New Roman" w:hAnsi="Times New Roman"/>
          <w:sz w:val="32"/>
          <w:szCs w:val="32"/>
        </w:rPr>
        <w:t>.面向大数据、人工智能的新型计算体系结构</w:t>
      </w:r>
    </w:p>
    <w:p>
      <w:pPr>
        <w:pStyle w:val="10"/>
        <w:ind w:firstLine="640"/>
        <w:rPr>
          <w:rFonts w:ascii="Times New Roman" w:hAnsi="Times New Roman"/>
          <w:sz w:val="32"/>
          <w:szCs w:val="32"/>
        </w:rPr>
      </w:pPr>
      <w:r>
        <w:rPr>
          <w:rFonts w:hint="eastAsia" w:ascii="Times New Roman" w:hAnsi="Times New Roman"/>
          <w:sz w:val="32"/>
          <w:szCs w:val="32"/>
          <w:lang w:val="en-US" w:eastAsia="zh-CN"/>
        </w:rPr>
        <w:t>2</w:t>
      </w:r>
      <w:r>
        <w:rPr>
          <w:rFonts w:ascii="Times New Roman" w:hAnsi="Times New Roman"/>
          <w:sz w:val="32"/>
          <w:szCs w:val="32"/>
        </w:rPr>
        <w:t>.高效能并行与分布式计算</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ascii="Times New Roman" w:hAnsi="Times New Roman"/>
          <w:sz w:val="32"/>
          <w:szCs w:val="32"/>
        </w:rPr>
        <w:t>.自然语言处理与人机交互技术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.软件及其生态系统的机理和关键技术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.城市感知与城市计算理论与关键技术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.网络空间安全的基础理论与关键技术</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本年度</w:t>
      </w:r>
      <w:r>
        <w:rPr>
          <w:rFonts w:hint="eastAsia" w:ascii="Times New Roman" w:hAnsi="Times New Roman"/>
          <w:sz w:val="32"/>
          <w:szCs w:val="32"/>
          <w:lang w:eastAsia="zh-CN"/>
        </w:rPr>
        <w:t>鼓励科研人员重点</w:t>
      </w:r>
      <w:r>
        <w:rPr>
          <w:rFonts w:hint="eastAsia" w:ascii="Times New Roman" w:hAnsi="Times New Roman"/>
          <w:sz w:val="32"/>
          <w:szCs w:val="32"/>
        </w:rPr>
        <w:t>围绕通用人工智能</w:t>
      </w:r>
      <w:r>
        <w:rPr>
          <w:rFonts w:hint="eastAsia" w:ascii="Times New Roman" w:hAnsi="Times New Roman"/>
          <w:sz w:val="32"/>
          <w:szCs w:val="32"/>
          <w:lang w:eastAsia="zh-CN"/>
        </w:rPr>
        <w:t>、</w:t>
      </w:r>
      <w:r>
        <w:rPr>
          <w:rFonts w:hint="eastAsia" w:ascii="Times New Roman" w:hAnsi="Times New Roman"/>
          <w:sz w:val="32"/>
          <w:szCs w:val="32"/>
        </w:rPr>
        <w:t>区块链、</w:t>
      </w:r>
      <w:r>
        <w:rPr>
          <w:rFonts w:hint="eastAsia" w:ascii="Times New Roman" w:hAnsi="Times New Roman"/>
          <w:sz w:val="32"/>
          <w:szCs w:val="32"/>
          <w:lang w:eastAsia="zh-CN"/>
        </w:rPr>
        <w:t>网络空间</w:t>
      </w:r>
      <w:r>
        <w:rPr>
          <w:rFonts w:hint="eastAsia" w:ascii="Times New Roman" w:hAnsi="Times New Roman"/>
          <w:sz w:val="32"/>
          <w:szCs w:val="32"/>
        </w:rPr>
        <w:t>安全等前沿方向开展基础研究。</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三、自动化与智能系统</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开展先进自动化技术与智能系统的应用基础研究，将促进首都高新技术及产业化向更高水平发展。本学科主要资助控制理论与方法、系统科学与系统工程、导航制导与传感技术、模式识别、人工智能与知识工程、认知科学及智能信息处理等方面的研究。</w:t>
      </w:r>
    </w:p>
    <w:p>
      <w:pPr>
        <w:pStyle w:val="10"/>
        <w:numPr>
          <w:ilvl w:val="255"/>
          <w:numId w:val="0"/>
        </w:numPr>
        <w:ind w:firstLine="640" w:firstLineChars="200"/>
        <w:rPr>
          <w:rFonts w:ascii="Times New Roman" w:hAnsi="Times New Roman"/>
          <w:sz w:val="32"/>
          <w:szCs w:val="32"/>
        </w:rPr>
      </w:pPr>
      <w:r>
        <w:rPr>
          <w:rFonts w:hint="eastAsia" w:ascii="Times New Roman" w:hAnsi="Times New Roman"/>
          <w:sz w:val="32"/>
          <w:szCs w:val="32"/>
        </w:rPr>
        <w:t>1.</w:t>
      </w:r>
      <w:r>
        <w:rPr>
          <w:rFonts w:ascii="Times New Roman" w:hAnsi="Times New Roman"/>
          <w:sz w:val="32"/>
          <w:szCs w:val="32"/>
        </w:rPr>
        <w:t>面向任务驱动的智能控制理论与方法</w:t>
      </w:r>
    </w:p>
    <w:p>
      <w:pPr>
        <w:pStyle w:val="10"/>
        <w:ind w:firstLine="640"/>
        <w:rPr>
          <w:rFonts w:ascii="Times New Roman" w:hAnsi="Times New Roman"/>
          <w:sz w:val="32"/>
          <w:szCs w:val="32"/>
        </w:rPr>
      </w:pPr>
      <w:r>
        <w:rPr>
          <w:rFonts w:ascii="Times New Roman" w:hAnsi="Times New Roman"/>
          <w:sz w:val="32"/>
          <w:szCs w:val="32"/>
        </w:rPr>
        <w:t>2.面向无人自主系统的环境感知与智能控制方法</w:t>
      </w:r>
    </w:p>
    <w:p>
      <w:pPr>
        <w:pStyle w:val="10"/>
        <w:ind w:firstLine="640"/>
        <w:rPr>
          <w:rFonts w:ascii="Times New Roman" w:hAnsi="Times New Roman"/>
          <w:bCs/>
          <w:sz w:val="32"/>
          <w:szCs w:val="32"/>
        </w:rPr>
      </w:pPr>
      <w:r>
        <w:rPr>
          <w:rFonts w:ascii="Times New Roman" w:hAnsi="Times New Roman"/>
          <w:sz w:val="32"/>
          <w:szCs w:val="32"/>
        </w:rPr>
        <w:t>3.人机共融的机器人系统理论与方法</w:t>
      </w:r>
    </w:p>
    <w:p>
      <w:pPr>
        <w:pStyle w:val="10"/>
        <w:ind w:left="640" w:firstLine="0" w:firstLineChars="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.信息物理系统的基础理论与关键技术</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.大数据智能、跨媒体感知计算等人工智能理论研究</w:t>
      </w:r>
    </w:p>
    <w:p>
      <w:pPr>
        <w:pStyle w:val="11"/>
        <w:pageBreakBefore w:val="0"/>
        <w:kinsoku/>
        <w:wordWrap/>
        <w:overflowPunct/>
        <w:topLinePunct w:val="0"/>
        <w:autoSpaceDE/>
        <w:autoSpaceDN/>
        <w:bidi w:val="0"/>
        <w:adjustRightInd/>
        <w:spacing w:line="560" w:lineRule="exact"/>
        <w:jc w:val="both"/>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四、微电子与光电子</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微电子与光电子技术已经渗透到社会的各个领域，是许多高新技术发展的基础、前提和先导，是绿色智能社会发展的重要驱动力量和国防科技发展的重要基石。本学科主要资助半导体电子器件、集成电路制造与封装、半导体微纳机电器件与系统、新型信息器件、光电集成等方面的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w:t>
      </w:r>
      <w:r>
        <w:rPr>
          <w:rFonts w:ascii="Times New Roman" w:hAnsi="Times New Roman"/>
          <w:sz w:val="32"/>
          <w:szCs w:val="32"/>
        </w:rPr>
        <w:t>.面向毫米波、太赫兹等频段应用的集成芯片设计方法</w:t>
      </w:r>
    </w:p>
    <w:p>
      <w:pPr>
        <w:pStyle w:val="10"/>
        <w:ind w:firstLine="640"/>
        <w:rPr>
          <w:rFonts w:ascii="Times New Roman" w:hAnsi="Times New Roman"/>
          <w:bCs/>
          <w:sz w:val="32"/>
          <w:szCs w:val="32"/>
        </w:rPr>
      </w:pPr>
      <w:r>
        <w:rPr>
          <w:rFonts w:hint="eastAsia" w:ascii="Times New Roman" w:hAnsi="Times New Roman"/>
          <w:sz w:val="32"/>
          <w:szCs w:val="32"/>
          <w:lang w:val="en-US" w:eastAsia="zh-CN"/>
        </w:rPr>
        <w:t>2</w:t>
      </w:r>
      <w:r>
        <w:rPr>
          <w:rFonts w:ascii="Times New Roman" w:hAnsi="Times New Roman"/>
          <w:sz w:val="32"/>
          <w:szCs w:val="32"/>
        </w:rPr>
        <w:t>.面向人工智能的集成电路芯片设计与实现</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ascii="Times New Roman" w:hAnsi="Times New Roman"/>
          <w:sz w:val="32"/>
          <w:szCs w:val="32"/>
        </w:rPr>
        <w:t>.集成电路设计、测试及仿真的理论与方法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.微（纳）机电系统和微（纳）光机电系统</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.微（纳）电子、光电子器件与集成</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.基于二维材料的微纳器件与纳米光电子集成芯片</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sz w:val="32"/>
          <w:szCs w:val="32"/>
          <w:lang w:val="en-US" w:eastAsia="zh-CN"/>
        </w:rPr>
        <w:t>7</w:t>
      </w:r>
      <w:r>
        <w:rPr>
          <w:rFonts w:ascii="Times New Roman" w:hAnsi="Times New Roman"/>
          <w:sz w:val="32"/>
          <w:szCs w:val="32"/>
        </w:rPr>
        <w:t>.面向医疗健康应用的智能传感与集成微系统关键技术</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sz w:val="32"/>
          <w:szCs w:val="32"/>
        </w:rPr>
      </w:pPr>
      <w:r>
        <w:rPr>
          <w:rFonts w:hint="eastAsia" w:ascii="Times New Roman" w:hAnsi="Times New Roman"/>
          <w:sz w:val="32"/>
          <w:szCs w:val="32"/>
          <w:lang w:eastAsia="zh-CN"/>
        </w:rPr>
        <w:t>本年度鼓励科研人员重点</w:t>
      </w:r>
      <w:r>
        <w:rPr>
          <w:rFonts w:hint="eastAsia" w:ascii="Times New Roman" w:hAnsi="Times New Roman"/>
          <w:sz w:val="32"/>
          <w:szCs w:val="32"/>
        </w:rPr>
        <w:t>围绕半导体基础理论、新型微纳器件、新型集成电路及计算架构等前沿方向开展基础研究。</w:t>
      </w:r>
    </w:p>
    <w:p>
      <w:pPr>
        <w:pStyle w:val="11"/>
        <w:pageBreakBefore w:val="0"/>
        <w:kinsoku/>
        <w:wordWrap/>
        <w:overflowPunct/>
        <w:topLinePunct w:val="0"/>
        <w:autoSpaceDE/>
        <w:autoSpaceDN/>
        <w:bidi w:val="0"/>
        <w:adjustRightInd/>
        <w:spacing w:line="560" w:lineRule="exact"/>
        <w:jc w:val="both"/>
        <w:textAlignment w:val="auto"/>
        <w:rPr>
          <w:rFonts w:hint="eastAsia" w:ascii="Times New Roman" w:hAnsi="Times New Roman"/>
          <w:sz w:val="32"/>
          <w:szCs w:val="32"/>
        </w:rPr>
      </w:pPr>
    </w:p>
    <w:p>
      <w:pPr>
        <w:pStyle w:val="11"/>
        <w:pageBreakBefore w:val="0"/>
        <w:kinsoku/>
        <w:wordWrap/>
        <w:overflowPunct/>
        <w:topLinePunct w:val="0"/>
        <w:autoSpaceDE/>
        <w:autoSpaceDN/>
        <w:bidi w:val="0"/>
        <w:adjustRightInd/>
        <w:spacing w:line="560" w:lineRule="exact"/>
        <w:jc w:val="both"/>
        <w:textAlignment w:val="auto"/>
        <w:rPr>
          <w:rFonts w:hint="eastAsia" w:ascii="Times New Roman" w:hAnsi="Times New Roman"/>
          <w:sz w:val="32"/>
          <w:szCs w:val="32"/>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医药科学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医药科学是研究人类健康的医学、药学和相关学科的总称，主要包括基础医学、临床医学、预防医学、药学、中医学、中药学、中西医结合学、生物医学工程学和放射医学等学科。结合医学及相关科学的发展趋势和北京首都定位及重大需求，本学科领域以提高全民健康水平为目标，以医工交叉、精准医疗、新药创制、中医药学研究为重点，资助科研人员开展相关基础与应用基础研究，旨在不断提升北京市医药科学的创新能力，满足市民日益增长的健康需求，提高公众健康管理水平，支撑医疗卫生体制改革的实施，促进生物医药战略性新兴产业发展，切实改善民生服务，支撑北京医药创新体系建设。</w:t>
      </w:r>
    </w:p>
    <w:p>
      <w:pPr>
        <w:pStyle w:val="10"/>
        <w:ind w:firstLine="640"/>
        <w:rPr>
          <w:rFonts w:ascii="Times New Roman" w:hAnsi="Times New Roman"/>
          <w:sz w:val="32"/>
          <w:szCs w:val="32"/>
        </w:rPr>
      </w:pPr>
      <w:r>
        <w:rPr>
          <w:rFonts w:ascii="Times New Roman" w:hAnsi="Times New Roman"/>
          <w:sz w:val="32"/>
          <w:szCs w:val="32"/>
        </w:rPr>
        <w:t>1.心脑血管疾病、呼吸系统疾病、代谢性疾病、神经精神疾病、退行性疾病、消化系统疾病等慢性非传染性疾病的发病机制及干预研究</w:t>
      </w:r>
    </w:p>
    <w:p>
      <w:pPr>
        <w:pStyle w:val="10"/>
        <w:ind w:firstLine="640"/>
        <w:rPr>
          <w:rFonts w:ascii="Times New Roman" w:hAnsi="Times New Roman"/>
          <w:sz w:val="32"/>
          <w:szCs w:val="32"/>
        </w:rPr>
      </w:pPr>
      <w:r>
        <w:rPr>
          <w:rFonts w:ascii="Times New Roman" w:hAnsi="Times New Roman"/>
          <w:sz w:val="32"/>
          <w:szCs w:val="32"/>
        </w:rPr>
        <w:t>2.肿瘤发生发展的细胞和分子调控机制及免疫治疗</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ascii="Times New Roman" w:hAnsi="Times New Roman"/>
          <w:sz w:val="32"/>
          <w:szCs w:val="32"/>
        </w:rPr>
        <w:t>.免疫性疾病的发病机制及干预研究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.罕见病与遗传性疾病的发病机制、动物模型构建与诊疗新技术研究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.非器质性疾病的发病机制及干预研究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.炎症在疾病发生发展中的作用机制及干预研究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.生殖健康、围生医学及儿童生长发育的研究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8</w:t>
      </w:r>
      <w:r>
        <w:rPr>
          <w:rFonts w:ascii="Times New Roman" w:hAnsi="Times New Roman"/>
          <w:sz w:val="32"/>
          <w:szCs w:val="32"/>
        </w:rPr>
        <w:t>.急危重症的早期识别、诊断治疗及器官功能保护的应用基础研究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9</w:t>
      </w:r>
      <w:r>
        <w:rPr>
          <w:rFonts w:ascii="Times New Roman" w:hAnsi="Times New Roman"/>
          <w:sz w:val="32"/>
          <w:szCs w:val="32"/>
        </w:rPr>
        <w:t>.运动、创伤、烧伤等组织损伤的病理机制、修复与功能重建的建立及其生物学效应研究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10</w:t>
      </w:r>
      <w:r>
        <w:rPr>
          <w:rFonts w:ascii="Times New Roman" w:hAnsi="Times New Roman"/>
          <w:sz w:val="32"/>
          <w:szCs w:val="32"/>
        </w:rPr>
        <w:t>.新靶点的发现及创新药物研究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11</w:t>
      </w:r>
      <w:r>
        <w:rPr>
          <w:rFonts w:ascii="Times New Roman" w:hAnsi="Times New Roman"/>
          <w:sz w:val="32"/>
          <w:szCs w:val="32"/>
        </w:rPr>
        <w:t>.药物活性评价新模型和新方法的基础研究及其应用</w:t>
      </w:r>
    </w:p>
    <w:p>
      <w:pPr>
        <w:pStyle w:val="10"/>
        <w:ind w:firstLine="640"/>
        <w:rPr>
          <w:rFonts w:ascii="Times New Roman" w:hAnsi="Times New Roman"/>
          <w:sz w:val="32"/>
          <w:szCs w:val="32"/>
        </w:rPr>
      </w:pPr>
      <w:r>
        <w:rPr>
          <w:rFonts w:hint="eastAsia" w:ascii="Times New Roman" w:hAnsi="Times New Roman"/>
          <w:sz w:val="32"/>
          <w:szCs w:val="32"/>
          <w:lang w:val="en-US" w:eastAsia="zh-CN"/>
        </w:rPr>
        <w:t>12</w:t>
      </w:r>
      <w:r>
        <w:rPr>
          <w:rFonts w:ascii="Times New Roman" w:hAnsi="Times New Roman"/>
          <w:sz w:val="32"/>
          <w:szCs w:val="32"/>
        </w:rPr>
        <w:t>.新骨架化合物的发现及功能研究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13</w:t>
      </w:r>
      <w:r>
        <w:rPr>
          <w:rFonts w:ascii="Times New Roman" w:hAnsi="Times New Roman"/>
          <w:sz w:val="32"/>
          <w:szCs w:val="32"/>
        </w:rPr>
        <w:t>.基于生物合成的先导物发现及成药性评价</w:t>
      </w:r>
    </w:p>
    <w:p>
      <w:pPr>
        <w:pStyle w:val="10"/>
        <w:ind w:firstLine="640"/>
        <w:rPr>
          <w:rFonts w:ascii="Times New Roman" w:hAnsi="Times New Roman"/>
          <w:sz w:val="32"/>
          <w:szCs w:val="32"/>
        </w:rPr>
      </w:pPr>
      <w:r>
        <w:rPr>
          <w:rFonts w:hint="eastAsia" w:ascii="Times New Roman" w:hAnsi="Times New Roman"/>
          <w:sz w:val="32"/>
          <w:szCs w:val="32"/>
          <w:lang w:val="en-US" w:eastAsia="zh-CN"/>
        </w:rPr>
        <w:t>14</w:t>
      </w:r>
      <w:r>
        <w:rPr>
          <w:rFonts w:ascii="Times New Roman" w:hAnsi="Times New Roman"/>
          <w:sz w:val="32"/>
          <w:szCs w:val="32"/>
        </w:rPr>
        <w:t>.生物大分子药物的发现与创新</w:t>
      </w:r>
    </w:p>
    <w:p>
      <w:pPr>
        <w:pStyle w:val="10"/>
        <w:ind w:firstLine="640"/>
        <w:rPr>
          <w:rFonts w:ascii="Times New Roman" w:hAnsi="Times New Roman"/>
          <w:sz w:val="32"/>
          <w:szCs w:val="32"/>
        </w:rPr>
      </w:pPr>
      <w:r>
        <w:rPr>
          <w:rFonts w:hint="eastAsia" w:ascii="Times New Roman" w:hAnsi="Times New Roman"/>
          <w:sz w:val="32"/>
          <w:szCs w:val="32"/>
          <w:lang w:val="en-US" w:eastAsia="zh-CN"/>
        </w:rPr>
        <w:t>15</w:t>
      </w:r>
      <w:r>
        <w:rPr>
          <w:rFonts w:ascii="Times New Roman" w:hAnsi="Times New Roman"/>
          <w:sz w:val="32"/>
          <w:szCs w:val="32"/>
        </w:rPr>
        <w:t>.药物耐药机制及应对策略</w:t>
      </w:r>
    </w:p>
    <w:p>
      <w:pPr>
        <w:pStyle w:val="10"/>
        <w:ind w:firstLine="640"/>
        <w:rPr>
          <w:rFonts w:ascii="Times New Roman" w:hAnsi="Times New Roman"/>
          <w:sz w:val="32"/>
          <w:szCs w:val="32"/>
        </w:rPr>
      </w:pPr>
      <w:r>
        <w:rPr>
          <w:rFonts w:hint="eastAsia" w:ascii="Times New Roman" w:hAnsi="Times New Roman"/>
          <w:sz w:val="32"/>
          <w:szCs w:val="32"/>
          <w:lang w:val="en-US" w:eastAsia="zh-CN"/>
        </w:rPr>
        <w:t>16</w:t>
      </w:r>
      <w:r>
        <w:rPr>
          <w:rFonts w:ascii="Times New Roman" w:hAnsi="Times New Roman"/>
          <w:sz w:val="32"/>
          <w:szCs w:val="32"/>
        </w:rPr>
        <w:t>.生物活性物质递送、靶向、控释的基础及其应用策略研究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17</w:t>
      </w:r>
      <w:r>
        <w:rPr>
          <w:rFonts w:ascii="Times New Roman" w:hAnsi="Times New Roman"/>
          <w:sz w:val="32"/>
          <w:szCs w:val="32"/>
        </w:rPr>
        <w:t>.肌骨、血管、重要脏器的工程化构建和基础研究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18</w:t>
      </w:r>
      <w:r>
        <w:rPr>
          <w:rFonts w:ascii="Times New Roman" w:hAnsi="Times New Roman"/>
          <w:sz w:val="32"/>
          <w:szCs w:val="32"/>
        </w:rPr>
        <w:t>.环境因素与人体健康研究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19</w:t>
      </w:r>
      <w:r>
        <w:rPr>
          <w:rFonts w:ascii="Times New Roman" w:hAnsi="Times New Roman"/>
          <w:sz w:val="32"/>
          <w:szCs w:val="32"/>
        </w:rPr>
        <w:t>.机体微生态及营养在疾病发生发展中的作用和机制研究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20</w:t>
      </w:r>
      <w:r>
        <w:rPr>
          <w:rFonts w:ascii="Times New Roman" w:hAnsi="Times New Roman"/>
          <w:sz w:val="32"/>
          <w:szCs w:val="32"/>
        </w:rPr>
        <w:t>.基于肠道微生态的基础医学研究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21</w:t>
      </w:r>
      <w:r>
        <w:rPr>
          <w:rFonts w:ascii="Times New Roman" w:hAnsi="Times New Roman"/>
          <w:sz w:val="32"/>
          <w:szCs w:val="32"/>
        </w:rPr>
        <w:t>.中医药基础理论的现代科学内涵研究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22</w:t>
      </w:r>
      <w:r>
        <w:rPr>
          <w:rFonts w:ascii="Times New Roman" w:hAnsi="Times New Roman"/>
          <w:sz w:val="32"/>
          <w:szCs w:val="32"/>
        </w:rPr>
        <w:t>.中医药优势病种诊疗的关键环节研究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23</w:t>
      </w:r>
      <w:r>
        <w:rPr>
          <w:rFonts w:ascii="Times New Roman" w:hAnsi="Times New Roman"/>
          <w:sz w:val="32"/>
          <w:szCs w:val="32"/>
        </w:rPr>
        <w:t>.中医药临床疗效评价创新方法与技术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24</w:t>
      </w:r>
      <w:r>
        <w:rPr>
          <w:rFonts w:ascii="Times New Roman" w:hAnsi="Times New Roman"/>
          <w:sz w:val="32"/>
          <w:szCs w:val="32"/>
        </w:rPr>
        <w:t>.中医经典名方、特色复方的药效物质基础研究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25</w:t>
      </w:r>
      <w:r>
        <w:rPr>
          <w:rFonts w:ascii="Times New Roman" w:hAnsi="Times New Roman"/>
          <w:sz w:val="32"/>
          <w:szCs w:val="32"/>
        </w:rPr>
        <w:t>.物理（力、光、电、声、热、磁等）诊疗新技术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26</w:t>
      </w:r>
      <w:r>
        <w:rPr>
          <w:rFonts w:ascii="Times New Roman" w:hAnsi="Times New Roman"/>
          <w:sz w:val="32"/>
          <w:szCs w:val="32"/>
        </w:rPr>
        <w:t>.多模态分子影像技术的基础研究及其临床应用</w:t>
      </w:r>
    </w:p>
    <w:p>
      <w:pPr>
        <w:pStyle w:val="10"/>
        <w:ind w:firstLine="640"/>
        <w:rPr>
          <w:rFonts w:ascii="Times New Roman" w:hAnsi="Times New Roman"/>
          <w:sz w:val="32"/>
          <w:szCs w:val="32"/>
        </w:rPr>
      </w:pPr>
      <w:r>
        <w:rPr>
          <w:rFonts w:hint="eastAsia" w:ascii="Times New Roman" w:hAnsi="Times New Roman"/>
          <w:sz w:val="32"/>
          <w:szCs w:val="32"/>
          <w:lang w:val="en-US" w:eastAsia="zh-CN"/>
        </w:rPr>
        <w:t>27</w:t>
      </w:r>
      <w:r>
        <w:rPr>
          <w:rFonts w:ascii="Times New Roman" w:hAnsi="Times New Roman"/>
          <w:sz w:val="32"/>
          <w:szCs w:val="32"/>
        </w:rPr>
        <w:t>.基于多维度临床数据的知识发现及在病因学中的应用研究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28</w:t>
      </w:r>
      <w:r>
        <w:rPr>
          <w:rFonts w:hint="eastAsia" w:ascii="Times New Roman" w:hAnsi="Times New Roman"/>
          <w:sz w:val="32"/>
          <w:szCs w:val="32"/>
        </w:rPr>
        <w:t>.医疗健康机器人及其安全交互操控研究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29</w:t>
      </w:r>
      <w:r>
        <w:rPr>
          <w:rFonts w:hint="eastAsia" w:ascii="Times New Roman" w:hAnsi="Times New Roman"/>
          <w:sz w:val="32"/>
          <w:szCs w:val="32"/>
        </w:rPr>
        <w:t>.医学数据获取与处理新方法及其在诊疗中的应用研究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30</w:t>
      </w:r>
      <w:r>
        <w:rPr>
          <w:rFonts w:hint="eastAsia" w:ascii="Times New Roman" w:hAnsi="Times New Roman"/>
          <w:sz w:val="32"/>
          <w:szCs w:val="32"/>
        </w:rPr>
        <w:t>.健康智能监测新方法及其应用基础研究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31</w:t>
      </w:r>
      <w:r>
        <w:rPr>
          <w:rFonts w:hint="eastAsia" w:ascii="Times New Roman" w:hAnsi="Times New Roman"/>
          <w:sz w:val="32"/>
          <w:szCs w:val="32"/>
        </w:rPr>
        <w:t>.植介入医疗器械设计、评测及应用研究</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hint="eastAsia" w:ascii="Times New Roman" w:hAnsi="Times New Roman"/>
          <w:sz w:val="32"/>
          <w:szCs w:val="32"/>
        </w:rPr>
        <w:t>2</w:t>
      </w:r>
      <w:r>
        <w:rPr>
          <w:rFonts w:ascii="Times New Roman" w:hAnsi="Times New Roman"/>
          <w:sz w:val="32"/>
          <w:szCs w:val="32"/>
        </w:rPr>
        <w:t>.基于分子分型的个体化诊疗及机制研究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val="en-US" w:eastAsia="zh-CN"/>
        </w:rPr>
        <w:t>3</w:t>
      </w:r>
      <w:r>
        <w:rPr>
          <w:rFonts w:hint="eastAsia" w:ascii="Times New Roman" w:hAnsi="Times New Roman"/>
          <w:sz w:val="32"/>
          <w:szCs w:val="32"/>
        </w:rPr>
        <w:t>3</w:t>
      </w:r>
      <w:r>
        <w:rPr>
          <w:rFonts w:ascii="Times New Roman" w:hAnsi="Times New Roman"/>
          <w:sz w:val="32"/>
          <w:szCs w:val="32"/>
        </w:rPr>
        <w:t>.疾病预测、诊断、治疗监测和预后评估的新技术与新方法</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eastAsia="zh-CN"/>
        </w:rPr>
        <w:t>本年度鼓励科研人员</w:t>
      </w:r>
      <w:r>
        <w:rPr>
          <w:rFonts w:hint="eastAsia" w:ascii="Times New Roman" w:hAnsi="Times New Roman"/>
          <w:sz w:val="32"/>
          <w:szCs w:val="32"/>
        </w:rPr>
        <w:t>面向临床医学与健康、新药创制、生物诊疗新技术等发展需求，</w:t>
      </w:r>
      <w:r>
        <w:rPr>
          <w:rFonts w:hint="eastAsia" w:ascii="Times New Roman" w:hAnsi="Times New Roman"/>
          <w:sz w:val="32"/>
          <w:szCs w:val="32"/>
          <w:lang w:eastAsia="zh-CN"/>
        </w:rPr>
        <w:t>重点</w:t>
      </w:r>
      <w:r>
        <w:rPr>
          <w:rFonts w:hint="eastAsia" w:ascii="Times New Roman" w:hAnsi="Times New Roman"/>
          <w:sz w:val="32"/>
          <w:szCs w:val="32"/>
        </w:rPr>
        <w:t>围绕重大疾病的发病机制，创新药物的靶点寻找、药靶互作、靶向递送和新型制剂，</w:t>
      </w:r>
      <w:r>
        <w:rPr>
          <w:rFonts w:hint="eastAsia" w:ascii="仿宋_GB2312" w:eastAsia="仿宋_GB2312" w:hAnsiTheme="minorHAnsi" w:cstheme="minorBidi"/>
          <w:color w:val="000000" w:themeColor="text1"/>
          <w:sz w:val="32"/>
          <w:szCs w:val="32"/>
          <w14:textFill>
            <w14:solidFill>
              <w14:schemeClr w14:val="tx1"/>
            </w14:solidFill>
          </w14:textFill>
        </w:rPr>
        <w:t>以及细胞与基因治疗、新型疫苗等前沿方向开展基础研究。</w:t>
      </w:r>
    </w:p>
    <w:p>
      <w:pPr>
        <w:pStyle w:val="11"/>
        <w:pageBreakBefore w:val="0"/>
        <w:kinsoku/>
        <w:wordWrap/>
        <w:overflowPunct/>
        <w:topLinePunct w:val="0"/>
        <w:autoSpaceDE/>
        <w:autoSpaceDN/>
        <w:bidi w:val="0"/>
        <w:adjustRightInd/>
        <w:spacing w:line="560" w:lineRule="exact"/>
        <w:jc w:val="both"/>
        <w:textAlignment w:val="auto"/>
        <w:rPr>
          <w:rFonts w:hint="eastAsia" w:ascii="Times New Roman" w:hAnsi="Times New Roman"/>
          <w:sz w:val="32"/>
          <w:szCs w:val="32"/>
        </w:rPr>
      </w:pPr>
    </w:p>
    <w:p>
      <w:pPr>
        <w:pStyle w:val="11"/>
        <w:pageBreakBefore w:val="0"/>
        <w:kinsoku/>
        <w:wordWrap/>
        <w:overflowPunct/>
        <w:topLinePunct w:val="0"/>
        <w:autoSpaceDE/>
        <w:autoSpaceDN/>
        <w:bidi w:val="0"/>
        <w:adjustRightInd/>
        <w:spacing w:line="560" w:lineRule="exact"/>
        <w:jc w:val="both"/>
        <w:textAlignment w:val="auto"/>
        <w:rPr>
          <w:rFonts w:hint="eastAsia" w:ascii="Times New Roman" w:hAnsi="Times New Roman"/>
          <w:sz w:val="32"/>
          <w:szCs w:val="32"/>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工程科学</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一、机械工程</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机械工程学科是研究机械产品和系统的设计、制造及性能的理论、方法和技术的科学，包括机械学和制造科学两大领域。机械学主要涉及机构学、传动机械学、机械动力学、机械设计理论、仿生机械学、智能机械与机器人设计等；制造科学主要涉及成形与加工制造、制造系统与自动化、机械测试理论与技术、微/纳机械系统、绿色制造和智能制造等。</w:t>
      </w:r>
    </w:p>
    <w:p>
      <w:pPr>
        <w:pStyle w:val="10"/>
        <w:ind w:firstLine="640"/>
        <w:rPr>
          <w:rFonts w:ascii="Times New Roman" w:hAnsi="Times New Roman"/>
          <w:sz w:val="32"/>
          <w:szCs w:val="32"/>
        </w:rPr>
      </w:pPr>
      <w:r>
        <w:rPr>
          <w:rFonts w:ascii="Times New Roman" w:hAnsi="Times New Roman"/>
          <w:sz w:val="32"/>
          <w:szCs w:val="32"/>
        </w:rPr>
        <w:t>1.机器人的设计与控制理论</w:t>
      </w:r>
    </w:p>
    <w:p>
      <w:pPr>
        <w:pStyle w:val="10"/>
        <w:ind w:firstLine="640"/>
        <w:rPr>
          <w:rFonts w:ascii="Times New Roman" w:hAnsi="Times New Roman"/>
          <w:sz w:val="32"/>
          <w:szCs w:val="32"/>
        </w:rPr>
      </w:pPr>
      <w:r>
        <w:rPr>
          <w:rFonts w:ascii="Times New Roman" w:hAnsi="Times New Roman"/>
          <w:sz w:val="32"/>
          <w:szCs w:val="32"/>
        </w:rPr>
        <w:t>2.高端装备核心零部件的设计制造方法</w:t>
      </w:r>
    </w:p>
    <w:p>
      <w:pPr>
        <w:pStyle w:val="10"/>
        <w:ind w:firstLine="640"/>
        <w:rPr>
          <w:rFonts w:ascii="Times New Roman" w:hAnsi="Times New Roman"/>
          <w:sz w:val="32"/>
          <w:szCs w:val="32"/>
        </w:rPr>
      </w:pPr>
      <w:r>
        <w:rPr>
          <w:rFonts w:ascii="Times New Roman" w:hAnsi="Times New Roman"/>
          <w:sz w:val="32"/>
          <w:szCs w:val="32"/>
        </w:rPr>
        <w:t>3.新能源与智能车辆设计理论与技术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.智能装备的创新设计、制造与测试理论</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.绿色设计与制造</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.微/纳机械系统设计及加工技术</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.生产过程的智能化、网络化与信息化融合理论与技术</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sz w:val="32"/>
          <w:szCs w:val="32"/>
          <w:lang w:eastAsia="zh-CN"/>
        </w:rPr>
      </w:pPr>
      <w:r>
        <w:rPr>
          <w:rFonts w:hint="eastAsia" w:ascii="Times New Roman" w:hAnsi="Times New Roman"/>
          <w:sz w:val="32"/>
          <w:szCs w:val="32"/>
          <w:lang w:eastAsia="zh-CN"/>
        </w:rPr>
        <w:t>本年度鼓励科研人员面向光学成像及光谱类、电子显微类、质谱类、空间组学等高端仪器的自主创新能力提升需求，重点围绕先进光源、电子源、离子源等高亮度的源部件，高灵敏度探测器，高精度执行部件等前沿方向开展基础研究。</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sz w:val="32"/>
          <w:szCs w:val="32"/>
          <w:lang w:eastAsia="zh-CN"/>
        </w:rPr>
      </w:pPr>
      <w:r>
        <w:rPr>
          <w:rFonts w:hint="eastAsia" w:ascii="仿宋_GB2312" w:hAnsi="仿宋_GB2312" w:eastAsia="仿宋_GB2312"/>
          <w:sz w:val="32"/>
          <w:szCs w:val="24"/>
        </w:rPr>
        <w:t>鼓励科研人员面向建设航天强国的战略目标，</w:t>
      </w:r>
      <w:r>
        <w:rPr>
          <w:rFonts w:hint="eastAsia" w:hAnsi="仿宋_GB2312"/>
          <w:sz w:val="32"/>
          <w:szCs w:val="24"/>
          <w:lang w:eastAsia="zh-CN"/>
        </w:rPr>
        <w:t>重点</w:t>
      </w:r>
      <w:r>
        <w:rPr>
          <w:rFonts w:hint="eastAsia" w:ascii="仿宋_GB2312" w:hAnsi="仿宋_GB2312" w:eastAsia="仿宋_GB2312"/>
          <w:sz w:val="32"/>
          <w:szCs w:val="24"/>
        </w:rPr>
        <w:t>围绕先进运载器/航天器</w:t>
      </w:r>
      <w:r>
        <w:rPr>
          <w:rFonts w:hint="eastAsia" w:hAnsi="仿宋_GB2312"/>
          <w:sz w:val="32"/>
          <w:szCs w:val="24"/>
          <w:lang w:eastAsia="zh-CN"/>
        </w:rPr>
        <w:t>、</w:t>
      </w:r>
      <w:r>
        <w:rPr>
          <w:rFonts w:hint="eastAsia" w:ascii="仿宋_GB2312" w:hAnsi="仿宋_GB2312" w:eastAsia="仿宋_GB2312"/>
          <w:sz w:val="32"/>
          <w:szCs w:val="24"/>
        </w:rPr>
        <w:t>智能无人飞行器/航空器等前沿方向开展基础研究。</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二、工程热物理与能源工程</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 xml:space="preserve">工程热物理与能源工程主要研究能量转换、传递与利用过程的基本规律以及能源的高效、清洁与合理利用等相关的理论和技术，内容包括：工程热力学、制冷与低温工程学、热力系统动态学、内流流体力学、传热传质学、多相流、燃烧学、热物性及热物理量测试技术基础、可再生能源或替代能源利用中的热科学问题等相关基础性与创新性研究。 </w:t>
      </w:r>
    </w:p>
    <w:p>
      <w:pPr>
        <w:pStyle w:val="10"/>
        <w:ind w:firstLine="672" w:firstLineChars="210"/>
        <w:rPr>
          <w:rFonts w:ascii="Times New Roman" w:hAnsi="Times New Roman"/>
          <w:sz w:val="32"/>
          <w:szCs w:val="32"/>
        </w:rPr>
      </w:pPr>
      <w:r>
        <w:rPr>
          <w:rFonts w:ascii="Times New Roman" w:hAnsi="Times New Roman"/>
          <w:sz w:val="32"/>
          <w:szCs w:val="32"/>
        </w:rPr>
        <w:t>1.化石能源的绿色清洁高效利用</w:t>
      </w:r>
    </w:p>
    <w:p>
      <w:pPr>
        <w:pStyle w:val="10"/>
        <w:ind w:left="640" w:firstLine="0" w:firstLineChars="0"/>
        <w:rPr>
          <w:rFonts w:ascii="Times New Roman" w:hAnsi="Times New Roman"/>
          <w:sz w:val="32"/>
          <w:szCs w:val="32"/>
        </w:rPr>
      </w:pPr>
      <w:r>
        <w:rPr>
          <w:rFonts w:ascii="Times New Roman" w:hAnsi="Times New Roman"/>
          <w:sz w:val="32"/>
          <w:szCs w:val="32"/>
        </w:rPr>
        <w:t>2.可再生能源高效、低成本利用中的工程热物理问题</w:t>
      </w:r>
    </w:p>
    <w:p>
      <w:pPr>
        <w:pStyle w:val="10"/>
        <w:ind w:firstLine="640"/>
        <w:rPr>
          <w:rFonts w:ascii="Times New Roman" w:hAnsi="Times New Roman"/>
          <w:sz w:val="32"/>
          <w:szCs w:val="32"/>
        </w:rPr>
      </w:pPr>
      <w:r>
        <w:rPr>
          <w:rFonts w:ascii="Times New Roman" w:hAnsi="Times New Roman"/>
          <w:sz w:val="32"/>
          <w:szCs w:val="32"/>
        </w:rPr>
        <w:t>3.中低品位余能高效转换利用新理论与新方法</w:t>
      </w:r>
    </w:p>
    <w:p>
      <w:pPr>
        <w:pStyle w:val="10"/>
        <w:ind w:firstLine="640"/>
        <w:rPr>
          <w:rFonts w:ascii="Times New Roman" w:hAnsi="Times New Roman"/>
          <w:sz w:val="32"/>
          <w:szCs w:val="32"/>
        </w:rPr>
      </w:pPr>
      <w:r>
        <w:rPr>
          <w:rFonts w:ascii="Times New Roman" w:hAnsi="Times New Roman"/>
          <w:sz w:val="32"/>
          <w:szCs w:val="32"/>
        </w:rPr>
        <w:t>4.建筑供能与节能系统关键技术及评价方法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5</w:t>
      </w:r>
      <w:r>
        <w:rPr>
          <w:rFonts w:ascii="Times New Roman" w:hAnsi="Times New Roman"/>
          <w:sz w:val="32"/>
          <w:szCs w:val="32"/>
        </w:rPr>
        <w:t>.新型热力循环机理和非平衡热力学</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.能源系统中的传热传质、多相流及燃烧</w:t>
      </w:r>
    </w:p>
    <w:p>
      <w:pPr>
        <w:pStyle w:val="10"/>
        <w:ind w:firstLine="640"/>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.复杂系统的热动力学及其优化与控制</w:t>
      </w:r>
    </w:p>
    <w:p>
      <w:pPr>
        <w:pStyle w:val="10"/>
        <w:ind w:firstLine="640"/>
        <w:rPr>
          <w:rFonts w:ascii="Times New Roman" w:hAnsi="Times New Roman"/>
          <w:sz w:val="32"/>
          <w:szCs w:val="32"/>
        </w:rPr>
      </w:pPr>
      <w:r>
        <w:rPr>
          <w:rFonts w:hint="eastAsia" w:ascii="Times New Roman" w:hAnsi="Times New Roman"/>
          <w:sz w:val="32"/>
          <w:szCs w:val="32"/>
          <w:lang w:val="en-US" w:eastAsia="zh-CN"/>
        </w:rPr>
        <w:t>8</w:t>
      </w:r>
      <w:r>
        <w:rPr>
          <w:rFonts w:ascii="Times New Roman" w:hAnsi="Times New Roman"/>
          <w:sz w:val="32"/>
          <w:szCs w:val="32"/>
        </w:rPr>
        <w:t>.工程热物理与能源利用中的测试新理论与新方法</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val="en-US" w:eastAsia="zh-CN"/>
        </w:rPr>
        <w:t>9</w:t>
      </w:r>
      <w:r>
        <w:rPr>
          <w:rFonts w:ascii="Times New Roman" w:hAnsi="Times New Roman"/>
          <w:sz w:val="32"/>
          <w:szCs w:val="32"/>
        </w:rPr>
        <w:t>.新能源车辆的综合热管理</w:t>
      </w:r>
    </w:p>
    <w:p>
      <w:pPr>
        <w:pStyle w:val="10"/>
        <w:pageBreakBefore w:val="0"/>
        <w:kinsoku/>
        <w:wordWrap/>
        <w:overflowPunct/>
        <w:topLinePunct w:val="0"/>
        <w:autoSpaceDE/>
        <w:autoSpaceDN/>
        <w:bidi w:val="0"/>
        <w:adjustRightInd/>
        <w:spacing w:line="560" w:lineRule="exact"/>
        <w:textAlignment w:val="auto"/>
        <w:rPr>
          <w:rFonts w:ascii="Times New Roman" w:hAnsi="Times New Roman"/>
          <w:sz w:val="32"/>
          <w:szCs w:val="32"/>
        </w:rPr>
      </w:pPr>
      <w:r>
        <w:rPr>
          <w:rFonts w:hint="eastAsia" w:ascii="Times New Roman" w:hAnsi="Times New Roman"/>
          <w:color w:val="auto"/>
          <w:sz w:val="32"/>
          <w:szCs w:val="32"/>
          <w:highlight w:val="none"/>
          <w:lang w:eastAsia="zh-CN"/>
        </w:rPr>
        <w:t>本年度鼓励科研人员</w:t>
      </w:r>
      <w:r>
        <w:rPr>
          <w:rFonts w:hint="eastAsia" w:ascii="Times New Roman" w:hAnsi="Times New Roman"/>
          <w:sz w:val="32"/>
          <w:szCs w:val="32"/>
          <w:lang w:eastAsia="zh-CN"/>
        </w:rPr>
        <w:t>重点</w:t>
      </w:r>
      <w:r>
        <w:rPr>
          <w:rFonts w:hint="eastAsia" w:ascii="Times New Roman" w:hAnsi="Times New Roman"/>
          <w:sz w:val="32"/>
          <w:szCs w:val="32"/>
        </w:rPr>
        <w:t>围绕化石能源清洁高效利用、可再生能源、储能、氢能</w:t>
      </w:r>
      <w:r>
        <w:rPr>
          <w:rFonts w:hint="eastAsia" w:ascii="Times New Roman" w:hAnsi="Times New Roman"/>
          <w:sz w:val="32"/>
          <w:szCs w:val="32"/>
          <w:lang w:eastAsia="zh-CN"/>
        </w:rPr>
        <w:t>、</w:t>
      </w:r>
      <w:r>
        <w:rPr>
          <w:rFonts w:hint="eastAsia" w:ascii="仿宋_GB2312" w:hAnsi="仿宋_GB2312" w:eastAsia="仿宋_GB2312"/>
          <w:sz w:val="32"/>
          <w:szCs w:val="24"/>
        </w:rPr>
        <w:t>无人飞行器/航空器新能源动力</w:t>
      </w:r>
      <w:r>
        <w:rPr>
          <w:rFonts w:hint="eastAsia" w:ascii="Times New Roman" w:hAnsi="Times New Roman"/>
          <w:sz w:val="32"/>
          <w:szCs w:val="32"/>
        </w:rPr>
        <w:t>等前沿方向开展基础研究。</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三、电气科学与工程</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电气科学与工程包含电磁能科学、电磁场与物质相互作用两大领域，主要研究电能转换变换、传输输配、调度、存储存及其高效清洁利用的基本规律、新理论、新方法和新技术的科学，包括电力系统及电工装备两大领域，其应用广泛，是国民经济可持续发展和国家能源安全的重要支柱。电气科学与工程的基础研究，对首都新能源装备、新能源汽车以及智能制造等领域创新驱动发展能力的提升具有重要意义。</w:t>
      </w:r>
    </w:p>
    <w:p>
      <w:pPr>
        <w:pStyle w:val="10"/>
        <w:ind w:firstLine="640"/>
        <w:rPr>
          <w:rFonts w:ascii="Times New Roman" w:hAnsi="Times New Roman"/>
          <w:sz w:val="32"/>
          <w:szCs w:val="32"/>
        </w:rPr>
      </w:pPr>
      <w:r>
        <w:rPr>
          <w:rFonts w:ascii="Times New Roman" w:hAnsi="Times New Roman"/>
          <w:sz w:val="32"/>
          <w:szCs w:val="32"/>
        </w:rPr>
        <w:t>1.电力系统与清洁能源高端装备的基础科学问题与关键技术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2</w:t>
      </w:r>
      <w:r>
        <w:rPr>
          <w:rFonts w:ascii="Times New Roman" w:hAnsi="Times New Roman"/>
          <w:sz w:val="32"/>
          <w:szCs w:val="32"/>
        </w:rPr>
        <w:t>.电能转换、传输、储存的新理论和新技术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3</w:t>
      </w:r>
      <w:r>
        <w:rPr>
          <w:rFonts w:ascii="Times New Roman" w:hAnsi="Times New Roman"/>
          <w:sz w:val="32"/>
          <w:szCs w:val="32"/>
        </w:rPr>
        <w:t>.高效能高品质电机、电力电子器件及系统</w:t>
      </w:r>
    </w:p>
    <w:p>
      <w:pPr>
        <w:pStyle w:val="10"/>
        <w:ind w:firstLine="640"/>
        <w:rPr>
          <w:rFonts w:ascii="Times New Roman" w:hAnsi="Times New Roman"/>
          <w:sz w:val="32"/>
          <w:szCs w:val="32"/>
        </w:rPr>
      </w:pPr>
      <w:r>
        <w:rPr>
          <w:rFonts w:hint="eastAsia" w:ascii="Times New Roman" w:hAnsi="Times New Roman"/>
          <w:sz w:val="32"/>
          <w:szCs w:val="32"/>
          <w:lang w:val="en-US" w:eastAsia="zh-CN"/>
        </w:rPr>
        <w:t>4</w:t>
      </w:r>
      <w:r>
        <w:rPr>
          <w:rFonts w:ascii="Times New Roman" w:hAnsi="Times New Roman"/>
          <w:sz w:val="32"/>
          <w:szCs w:val="32"/>
        </w:rPr>
        <w:t>.超导电工与电工新材料</w:t>
      </w:r>
    </w:p>
    <w:p>
      <w:pPr>
        <w:pStyle w:val="10"/>
        <w:ind w:firstLine="640"/>
        <w:rPr>
          <w:rFonts w:ascii="Times New Roman" w:hAnsi="Times New Roman" w:eastAsia="黑体"/>
          <w:sz w:val="32"/>
          <w:szCs w:val="32"/>
        </w:rPr>
      </w:pPr>
      <w:r>
        <w:rPr>
          <w:rFonts w:hint="eastAsia" w:ascii="Times New Roman" w:hAnsi="Times New Roman"/>
          <w:sz w:val="32"/>
          <w:szCs w:val="32"/>
          <w:lang w:val="en-US" w:eastAsia="zh-CN"/>
        </w:rPr>
        <w:t>5</w:t>
      </w:r>
      <w:r>
        <w:rPr>
          <w:rFonts w:ascii="Times New Roman" w:hAnsi="Times New Roman"/>
          <w:sz w:val="32"/>
          <w:szCs w:val="32"/>
        </w:rPr>
        <w:t>.电力系统与电气设备安全可靠及故障诊断方法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.新能源汽车、轨道交通车辆、特种运载工具等的电力驱动与控制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.机器人和智能装备核心电气部件的设计与实现</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color w:val="auto"/>
          <w:sz w:val="32"/>
          <w:szCs w:val="32"/>
          <w:highlight w:val="none"/>
          <w:lang w:eastAsia="zh-CN"/>
        </w:rPr>
        <w:t>本年度</w:t>
      </w:r>
      <w:r>
        <w:rPr>
          <w:rFonts w:hint="eastAsia" w:ascii="Times New Roman" w:hAnsi="Times New Roman"/>
          <w:sz w:val="32"/>
          <w:szCs w:val="32"/>
          <w:lang w:eastAsia="zh-CN"/>
        </w:rPr>
        <w:t>优先资助</w:t>
      </w:r>
      <w:r>
        <w:rPr>
          <w:rFonts w:hint="eastAsia" w:ascii="仿宋_GB2312" w:hAnsi="仿宋_GB2312" w:eastAsia="仿宋_GB2312" w:cs="仿宋_GB2312"/>
          <w:color w:val="auto"/>
          <w:sz w:val="32"/>
          <w:szCs w:val="32"/>
        </w:rPr>
        <w:t>新型电力系统</w:t>
      </w:r>
      <w:r>
        <w:rPr>
          <w:rFonts w:hint="eastAsia" w:hAnsi="仿宋_GB2312" w:cs="仿宋_GB2312"/>
          <w:color w:val="auto"/>
          <w:sz w:val="32"/>
          <w:szCs w:val="32"/>
          <w:lang w:eastAsia="zh-CN"/>
        </w:rPr>
        <w:t>等领域。</w:t>
      </w: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城建与环境科学</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一、城市建设与建筑科学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城市建设与建筑科学涉及城市规划、建筑设计，重要工程建设，城市功能安全、高效运行以及防灾减灾等领域，研究方向主要包括：城市规划与建筑设计，建构筑物建设、安全评估以及加固技术，工程结构与城市防灾减灾等。本学科鼓励开展与北京城市建设、京津冀协同发展相结合的基础研究，注重学科交叉和新技术、新工艺和新材料的应用研究。</w:t>
      </w:r>
    </w:p>
    <w:p>
      <w:pPr>
        <w:pStyle w:val="10"/>
        <w:ind w:firstLine="640"/>
        <w:rPr>
          <w:rFonts w:ascii="Times New Roman" w:hAnsi="Times New Roman"/>
          <w:b/>
          <w:sz w:val="32"/>
          <w:szCs w:val="32"/>
        </w:rPr>
      </w:pPr>
      <w:r>
        <w:rPr>
          <w:rFonts w:ascii="Times New Roman" w:hAnsi="Times New Roman"/>
          <w:sz w:val="32"/>
          <w:szCs w:val="32"/>
        </w:rPr>
        <w:t>1.可持续城市规划、城市设计及城市更新理论与方法</w:t>
      </w:r>
    </w:p>
    <w:p>
      <w:pPr>
        <w:pStyle w:val="10"/>
        <w:ind w:firstLine="640"/>
        <w:rPr>
          <w:rFonts w:ascii="Times New Roman" w:hAnsi="Times New Roman"/>
          <w:sz w:val="32"/>
          <w:szCs w:val="32"/>
        </w:rPr>
      </w:pPr>
      <w:r>
        <w:rPr>
          <w:rFonts w:ascii="Times New Roman" w:hAnsi="Times New Roman"/>
          <w:sz w:val="32"/>
          <w:szCs w:val="32"/>
        </w:rPr>
        <w:t>2.生态城市、绿色建筑和宜居环境构建理论与方法</w:t>
      </w:r>
    </w:p>
    <w:p>
      <w:pPr>
        <w:pStyle w:val="10"/>
        <w:ind w:firstLine="640"/>
        <w:rPr>
          <w:rFonts w:ascii="Times New Roman" w:hAnsi="Times New Roman"/>
          <w:sz w:val="32"/>
          <w:szCs w:val="32"/>
        </w:rPr>
      </w:pPr>
      <w:r>
        <w:rPr>
          <w:rFonts w:ascii="Times New Roman" w:hAnsi="Times New Roman"/>
          <w:sz w:val="32"/>
          <w:szCs w:val="32"/>
        </w:rPr>
        <w:t>3.城市/城市群生命线系统功能失效分析理论与方法</w:t>
      </w:r>
    </w:p>
    <w:p>
      <w:pPr>
        <w:pStyle w:val="10"/>
        <w:ind w:firstLine="640"/>
        <w:rPr>
          <w:rFonts w:ascii="Times New Roman" w:hAnsi="Times New Roman"/>
          <w:sz w:val="32"/>
          <w:szCs w:val="32"/>
        </w:rPr>
      </w:pPr>
      <w:r>
        <w:rPr>
          <w:rFonts w:ascii="Times New Roman" w:hAnsi="Times New Roman"/>
          <w:sz w:val="32"/>
          <w:szCs w:val="32"/>
        </w:rPr>
        <w:t>4.建筑工业化与智能建造理论与方法</w:t>
      </w:r>
    </w:p>
    <w:p>
      <w:pPr>
        <w:pStyle w:val="10"/>
        <w:ind w:firstLine="640"/>
        <w:rPr>
          <w:rFonts w:ascii="Times New Roman" w:hAnsi="Times New Roman"/>
          <w:sz w:val="32"/>
          <w:szCs w:val="32"/>
        </w:rPr>
      </w:pPr>
      <w:r>
        <w:rPr>
          <w:rFonts w:ascii="Times New Roman" w:hAnsi="Times New Roman"/>
          <w:sz w:val="32"/>
          <w:szCs w:val="32"/>
        </w:rPr>
        <w:t>5.北京城市交通系统功能提升的理论与方法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.城市基础设施和重要建构筑物韧性/全寿命设计理论</w:t>
      </w:r>
    </w:p>
    <w:p>
      <w:pPr>
        <w:pStyle w:val="10"/>
        <w:ind w:firstLine="640"/>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.工程结构安全评估与加固改造理论与方法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8</w:t>
      </w:r>
      <w:r>
        <w:rPr>
          <w:rFonts w:ascii="Times New Roman" w:hAnsi="Times New Roman"/>
          <w:sz w:val="32"/>
          <w:szCs w:val="32"/>
        </w:rPr>
        <w:t>.城市综合防灾减灾理论与方法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9</w:t>
      </w:r>
      <w:r>
        <w:rPr>
          <w:rFonts w:ascii="Times New Roman" w:hAnsi="Times New Roman"/>
          <w:sz w:val="32"/>
          <w:szCs w:val="32"/>
        </w:rPr>
        <w:t>.历史城市与建筑保护理论与方法</w:t>
      </w:r>
    </w:p>
    <w:p>
      <w:pPr>
        <w:pStyle w:val="10"/>
        <w:ind w:firstLine="640"/>
        <w:rPr>
          <w:rFonts w:ascii="Times New Roman" w:hAnsi="Times New Roman"/>
          <w:sz w:val="32"/>
          <w:szCs w:val="32"/>
        </w:rPr>
      </w:pPr>
      <w:r>
        <w:rPr>
          <w:rFonts w:hint="eastAsia" w:ascii="Times New Roman" w:hAnsi="Times New Roman"/>
          <w:sz w:val="32"/>
          <w:szCs w:val="32"/>
          <w:lang w:val="en-US" w:eastAsia="zh-CN"/>
        </w:rPr>
        <w:t>10</w:t>
      </w:r>
      <w:r>
        <w:rPr>
          <w:rFonts w:ascii="Times New Roman" w:hAnsi="Times New Roman"/>
          <w:sz w:val="32"/>
          <w:szCs w:val="32"/>
        </w:rPr>
        <w:t>.城市园林景观规划设计理论与方法研究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b/>
          <w:color w:val="auto"/>
          <w:sz w:val="32"/>
          <w:szCs w:val="32"/>
          <w:highlight w:val="none"/>
        </w:rPr>
      </w:pPr>
      <w:r>
        <w:rPr>
          <w:rFonts w:hint="eastAsia" w:ascii="Times New Roman" w:hAnsi="Times New Roman"/>
          <w:sz w:val="32"/>
          <w:szCs w:val="32"/>
          <w:lang w:val="en-US" w:eastAsia="zh-CN"/>
        </w:rPr>
        <w:t>11</w:t>
      </w:r>
      <w:r>
        <w:rPr>
          <w:rFonts w:ascii="Times New Roman" w:hAnsi="Times New Roman"/>
          <w:sz w:val="32"/>
          <w:szCs w:val="32"/>
        </w:rPr>
        <w:t>.信息技术与城市规划、建设与管理的交叉融合研究</w:t>
      </w: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b/>
          <w:color w:val="auto"/>
          <w:sz w:val="32"/>
          <w:szCs w:val="32"/>
          <w:highlight w:val="none"/>
        </w:rPr>
      </w:pPr>
      <w:r>
        <w:rPr>
          <w:rFonts w:ascii="Times New Roman" w:hAnsi="Times New Roman"/>
          <w:b/>
          <w:color w:val="auto"/>
          <w:sz w:val="32"/>
          <w:szCs w:val="32"/>
          <w:highlight w:val="none"/>
        </w:rPr>
        <w:t>二、环境保护</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伴随着首都经济社会的高速发展，首都资源环境与经济社会发展的矛盾日益突出，改善生态环境事关经济社会可持续发展和人民生活质量的提高。全面实施“绿色北京”战略，大幅提高首都生态文明水平和可持续发展能力，对环境科学与工程研究提出了新任务、新要求。针对首都环境保护的现实问题和重大需求，本学科重点关注水污染与大气污染控制、固体废物处理处置与资源化利用、生态保护与修复、室内环境污染控制及环境化学等方面的基础研究。</w:t>
      </w:r>
    </w:p>
    <w:p>
      <w:pPr>
        <w:pStyle w:val="10"/>
        <w:ind w:firstLine="640"/>
        <w:rPr>
          <w:rFonts w:ascii="Times New Roman" w:hAnsi="Times New Roman"/>
          <w:sz w:val="32"/>
          <w:szCs w:val="32"/>
        </w:rPr>
      </w:pPr>
      <w:r>
        <w:rPr>
          <w:rFonts w:ascii="Times New Roman" w:hAnsi="Times New Roman"/>
          <w:sz w:val="32"/>
          <w:szCs w:val="32"/>
        </w:rPr>
        <w:t>1.京津冀协同发展下生态安全理论研究</w:t>
      </w:r>
    </w:p>
    <w:p>
      <w:pPr>
        <w:pStyle w:val="10"/>
        <w:ind w:firstLine="640"/>
        <w:rPr>
          <w:rFonts w:ascii="Times New Roman" w:hAnsi="Times New Roman"/>
          <w:sz w:val="32"/>
          <w:szCs w:val="32"/>
        </w:rPr>
      </w:pPr>
      <w:r>
        <w:rPr>
          <w:rFonts w:ascii="Times New Roman" w:hAnsi="Times New Roman"/>
          <w:sz w:val="32"/>
          <w:szCs w:val="32"/>
        </w:rPr>
        <w:t>2.污水深度处理的新原理、新技术</w:t>
      </w:r>
    </w:p>
    <w:p>
      <w:pPr>
        <w:pStyle w:val="10"/>
        <w:ind w:firstLine="640"/>
        <w:rPr>
          <w:rFonts w:ascii="Times New Roman" w:hAnsi="Times New Roman"/>
          <w:sz w:val="32"/>
          <w:szCs w:val="32"/>
        </w:rPr>
      </w:pPr>
      <w:r>
        <w:rPr>
          <w:rFonts w:ascii="Times New Roman" w:hAnsi="Times New Roman"/>
          <w:sz w:val="32"/>
          <w:szCs w:val="32"/>
        </w:rPr>
        <w:t>3.细微颗粒物、臭氧污染形成机制与控制方法</w:t>
      </w:r>
    </w:p>
    <w:p>
      <w:pPr>
        <w:pStyle w:val="10"/>
        <w:ind w:firstLine="640"/>
        <w:rPr>
          <w:rFonts w:ascii="Times New Roman" w:hAnsi="Times New Roman"/>
          <w:sz w:val="32"/>
          <w:szCs w:val="32"/>
        </w:rPr>
      </w:pPr>
      <w:r>
        <w:rPr>
          <w:rFonts w:ascii="Times New Roman" w:hAnsi="Times New Roman"/>
          <w:sz w:val="32"/>
          <w:szCs w:val="32"/>
        </w:rPr>
        <w:t>4.</w:t>
      </w:r>
      <w:r>
        <w:rPr>
          <w:rFonts w:hint="eastAsia" w:ascii="Times New Roman" w:hAnsi="Times New Roman"/>
          <w:sz w:val="32"/>
          <w:szCs w:val="32"/>
        </w:rPr>
        <w:t>垃圾无害化</w:t>
      </w:r>
      <w:r>
        <w:rPr>
          <w:rFonts w:ascii="Times New Roman" w:hAnsi="Times New Roman"/>
          <w:sz w:val="32"/>
          <w:szCs w:val="32"/>
        </w:rPr>
        <w:t>处理与资源化利用</w:t>
      </w:r>
    </w:p>
    <w:p>
      <w:pPr>
        <w:pStyle w:val="10"/>
        <w:ind w:firstLine="640"/>
        <w:rPr>
          <w:rFonts w:ascii="Times New Roman" w:hAnsi="Times New Roman"/>
          <w:sz w:val="32"/>
          <w:szCs w:val="32"/>
        </w:rPr>
      </w:pPr>
      <w:r>
        <w:rPr>
          <w:rFonts w:ascii="Times New Roman" w:hAnsi="Times New Roman"/>
          <w:sz w:val="32"/>
          <w:szCs w:val="32"/>
        </w:rPr>
        <w:t>5.污染场地修复的原理与关键技术</w:t>
      </w:r>
    </w:p>
    <w:p>
      <w:pPr>
        <w:pStyle w:val="10"/>
        <w:ind w:firstLine="640"/>
        <w:rPr>
          <w:rFonts w:ascii="Times New Roman" w:hAnsi="Times New Roman"/>
          <w:sz w:val="32"/>
          <w:szCs w:val="32"/>
        </w:rPr>
      </w:pPr>
      <w:r>
        <w:rPr>
          <w:rFonts w:hint="eastAsia" w:ascii="Times New Roman" w:hAnsi="Times New Roman"/>
          <w:sz w:val="32"/>
          <w:szCs w:val="32"/>
          <w:lang w:val="en-US" w:eastAsia="zh-CN"/>
        </w:rPr>
        <w:t>6</w:t>
      </w:r>
      <w:r>
        <w:rPr>
          <w:rFonts w:ascii="Times New Roman" w:hAnsi="Times New Roman"/>
          <w:sz w:val="32"/>
          <w:szCs w:val="32"/>
        </w:rPr>
        <w:t>.多介质污染过程中的尺度效应与界面行为</w:t>
      </w:r>
    </w:p>
    <w:p>
      <w:pPr>
        <w:pStyle w:val="10"/>
        <w:ind w:firstLine="640"/>
        <w:rPr>
          <w:rFonts w:ascii="Times New Roman" w:hAnsi="Times New Roman"/>
          <w:sz w:val="32"/>
          <w:szCs w:val="32"/>
        </w:rPr>
      </w:pPr>
      <w:r>
        <w:rPr>
          <w:rFonts w:hint="eastAsia" w:ascii="Times New Roman" w:hAnsi="Times New Roman"/>
          <w:sz w:val="32"/>
          <w:szCs w:val="32"/>
          <w:lang w:val="en-US" w:eastAsia="zh-CN"/>
        </w:rPr>
        <w:t>7</w:t>
      </w:r>
      <w:r>
        <w:rPr>
          <w:rFonts w:ascii="Times New Roman" w:hAnsi="Times New Roman"/>
          <w:sz w:val="32"/>
          <w:szCs w:val="32"/>
        </w:rPr>
        <w:t>.生态环境治理中的新概念、新材料与新方法</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sz w:val="32"/>
          <w:szCs w:val="32"/>
          <w:lang w:val="en-US" w:eastAsia="zh-CN"/>
        </w:rPr>
        <w:t>8</w:t>
      </w:r>
      <w:r>
        <w:rPr>
          <w:rFonts w:ascii="Times New Roman" w:hAnsi="Times New Roman"/>
          <w:sz w:val="32"/>
          <w:szCs w:val="32"/>
        </w:rPr>
        <w:t>.物理性（光、声、电磁等）污染与防治技术</w:t>
      </w: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农业科学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围绕农业科学的基础、前沿和热点科学问题，并结合北京都市型现代农业发展及北京国家现代农业科技城建设对科技的需求，重点支持在籽种产业、设施农业、农业资源高效利用、健康养殖、农产品加工等方向的研究，加强对动植物种质资源挖掘、评价、保护与创新，动植物营养与调控，动植物有害生物防控，农田质量与生态修复等方向的资助，鼓励农业科学与信息科学融合交叉的基础科学问题研究，从而发挥北京农业区域优势，体现首都农业的高端、高效、高辐射作用。</w:t>
      </w:r>
    </w:p>
    <w:p>
      <w:pPr>
        <w:pStyle w:val="10"/>
        <w:ind w:firstLine="640"/>
        <w:rPr>
          <w:rFonts w:ascii="Times New Roman" w:hAnsi="Times New Roman"/>
          <w:sz w:val="32"/>
          <w:szCs w:val="32"/>
        </w:rPr>
      </w:pPr>
      <w:r>
        <w:rPr>
          <w:rFonts w:ascii="Times New Roman" w:hAnsi="Times New Roman"/>
          <w:sz w:val="32"/>
          <w:szCs w:val="32"/>
        </w:rPr>
        <w:t>1.动植物优异种质资源与重要性状的挖掘评价及其分子育种基础</w:t>
      </w:r>
    </w:p>
    <w:p>
      <w:pPr>
        <w:pStyle w:val="10"/>
        <w:ind w:firstLine="640"/>
        <w:rPr>
          <w:rFonts w:ascii="Times New Roman" w:hAnsi="Times New Roman"/>
          <w:sz w:val="32"/>
          <w:szCs w:val="32"/>
        </w:rPr>
      </w:pPr>
      <w:r>
        <w:rPr>
          <w:rFonts w:ascii="Times New Roman" w:hAnsi="Times New Roman"/>
          <w:sz w:val="32"/>
          <w:szCs w:val="32"/>
        </w:rPr>
        <w:t>2.农作物优质、丰产、抗病虫、抗逆及养分高效利用的生理生态与遗传基础研究</w:t>
      </w:r>
    </w:p>
    <w:p>
      <w:pPr>
        <w:pStyle w:val="10"/>
        <w:ind w:firstLine="640"/>
        <w:rPr>
          <w:rFonts w:ascii="Times New Roman" w:hAnsi="Times New Roman"/>
          <w:sz w:val="32"/>
          <w:szCs w:val="32"/>
        </w:rPr>
      </w:pPr>
      <w:r>
        <w:rPr>
          <w:rFonts w:ascii="Times New Roman" w:hAnsi="Times New Roman"/>
          <w:sz w:val="32"/>
          <w:szCs w:val="32"/>
        </w:rPr>
        <w:t>3.农林有害生物（含外来入侵生物）发生规律、成灾机理及绿色防控</w:t>
      </w:r>
    </w:p>
    <w:p>
      <w:pPr>
        <w:pStyle w:val="10"/>
        <w:ind w:firstLine="640"/>
        <w:rPr>
          <w:rFonts w:ascii="Times New Roman" w:hAnsi="Times New Roman"/>
          <w:sz w:val="32"/>
          <w:szCs w:val="32"/>
        </w:rPr>
      </w:pPr>
      <w:r>
        <w:rPr>
          <w:rFonts w:ascii="Times New Roman" w:hAnsi="Times New Roman"/>
          <w:sz w:val="32"/>
          <w:szCs w:val="32"/>
        </w:rPr>
        <w:t>4.动物病原（含人畜共患病）传播、致病机制及防控研究</w:t>
      </w:r>
    </w:p>
    <w:p>
      <w:pPr>
        <w:pStyle w:val="10"/>
        <w:ind w:firstLine="640"/>
        <w:rPr>
          <w:rFonts w:ascii="Times New Roman" w:hAnsi="Times New Roman"/>
          <w:sz w:val="32"/>
          <w:szCs w:val="32"/>
        </w:rPr>
      </w:pPr>
      <w:r>
        <w:rPr>
          <w:rFonts w:ascii="Times New Roman" w:hAnsi="Times New Roman"/>
          <w:sz w:val="32"/>
          <w:szCs w:val="32"/>
        </w:rPr>
        <w:t>5.畜禽健康养殖、抗生素替代物开发与产品品质调控</w:t>
      </w:r>
    </w:p>
    <w:p>
      <w:pPr>
        <w:pStyle w:val="10"/>
        <w:ind w:firstLine="640"/>
        <w:rPr>
          <w:rFonts w:ascii="Times New Roman" w:hAnsi="Times New Roman"/>
          <w:sz w:val="32"/>
          <w:szCs w:val="32"/>
        </w:rPr>
      </w:pPr>
      <w:r>
        <w:rPr>
          <w:rFonts w:ascii="Times New Roman" w:hAnsi="Times New Roman"/>
          <w:sz w:val="32"/>
          <w:szCs w:val="32"/>
        </w:rPr>
        <w:t>6.主要农产品采后生理、品质保持、精深加工、营养安全的基础研究</w:t>
      </w:r>
    </w:p>
    <w:p>
      <w:pPr>
        <w:pStyle w:val="10"/>
        <w:ind w:firstLine="640"/>
        <w:rPr>
          <w:rFonts w:ascii="Times New Roman" w:hAnsi="Times New Roman"/>
          <w:sz w:val="32"/>
          <w:szCs w:val="32"/>
        </w:rPr>
      </w:pPr>
      <w:r>
        <w:rPr>
          <w:rFonts w:ascii="Times New Roman" w:hAnsi="Times New Roman"/>
          <w:sz w:val="32"/>
          <w:szCs w:val="32"/>
        </w:rPr>
        <w:t>7.食品安全检测新技术与新方法</w:t>
      </w:r>
    </w:p>
    <w:p>
      <w:pPr>
        <w:pStyle w:val="10"/>
        <w:ind w:firstLine="640"/>
        <w:rPr>
          <w:rFonts w:ascii="Times New Roman" w:hAnsi="Times New Roman"/>
          <w:sz w:val="32"/>
          <w:szCs w:val="32"/>
        </w:rPr>
      </w:pPr>
      <w:r>
        <w:rPr>
          <w:rFonts w:ascii="Times New Roman" w:hAnsi="Times New Roman"/>
          <w:sz w:val="32"/>
          <w:szCs w:val="32"/>
        </w:rPr>
        <w:t>8.农业水肥资源高效利用、废弃物资源化、无害化及循环利用的基础研究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sz w:val="32"/>
          <w:szCs w:val="32"/>
        </w:rPr>
        <w:t>9.智慧农业技术与农业智能装备的基础研究</w:t>
      </w:r>
    </w:p>
    <w:p>
      <w:pPr>
        <w:pStyle w:val="11"/>
        <w:pageBreakBefore w:val="0"/>
        <w:kinsoku/>
        <w:wordWrap/>
        <w:overflowPunct/>
        <w:topLinePunct w:val="0"/>
        <w:autoSpaceDE/>
        <w:autoSpaceDN/>
        <w:bidi w:val="0"/>
        <w:adjustRightInd/>
        <w:spacing w:line="560" w:lineRule="exact"/>
        <w:jc w:val="both"/>
        <w:textAlignment w:val="auto"/>
        <w:rPr>
          <w:rFonts w:ascii="Times New Roman" w:hAnsi="Times New Roman"/>
          <w:color w:val="auto"/>
          <w:sz w:val="32"/>
          <w:szCs w:val="32"/>
          <w:highlight w:val="none"/>
        </w:rPr>
      </w:pPr>
    </w:p>
    <w:p>
      <w:pPr>
        <w:pStyle w:val="11"/>
        <w:pageBreakBefore w:val="0"/>
        <w:kinsoku/>
        <w:wordWrap/>
        <w:overflowPunct/>
        <w:topLinePunct w:val="0"/>
        <w:autoSpaceDE/>
        <w:autoSpaceDN/>
        <w:bidi w:val="0"/>
        <w:adjustRightInd/>
        <w:spacing w:line="560" w:lineRule="exact"/>
        <w:jc w:val="both"/>
        <w:textAlignment w:val="auto"/>
        <w:rPr>
          <w:rFonts w:ascii="Times New Roman" w:hAnsi="Times New Roman"/>
          <w:color w:val="auto"/>
          <w:sz w:val="32"/>
          <w:szCs w:val="32"/>
          <w:highlight w:val="none"/>
        </w:rPr>
      </w:pPr>
    </w:p>
    <w:p>
      <w:pPr>
        <w:pStyle w:val="11"/>
        <w:pageBreakBefore w:val="0"/>
        <w:kinsoku/>
        <w:wordWrap/>
        <w:overflowPunct/>
        <w:topLinePunct w:val="0"/>
        <w:autoSpaceDE/>
        <w:autoSpaceDN/>
        <w:bidi w:val="0"/>
        <w:adjustRightInd/>
        <w:spacing w:line="560" w:lineRule="exact"/>
        <w:textAlignment w:val="auto"/>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管理科学</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管理科学主要是研究人类社会组织管理活动的客观规律及其应用的综合性交叉科学。本学科积极支持管理科学与工程、工商管理、宏观管理与政策、公共管理等学科中社会需求紧迫、原创性强、实践指导意义重大的选题申请，鼓励围绕首都经济社会发展中的重大管理科学问题开展战略性、基础性和前瞻性研究；鼓励运用自然科学方法，结合经济学、行为科学、社会学等基础理论不断发展管理科学的理论与方法；鼓励跨学科的综合交叉研究；鼓励针对首都社会、城市建设和管理中的重大实际问题，做深度具体性研究，鼓励与政府和企业等有关部门开展合作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ascii="Times New Roman" w:hAnsi="Times New Roman"/>
          <w:color w:val="auto"/>
          <w:sz w:val="32"/>
          <w:szCs w:val="32"/>
          <w:highlight w:val="none"/>
        </w:rPr>
        <w:t>本学科不受理纯人文社会科学研究领域的项目申请。</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1.数据驱动下的城市发展与治理研究</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2.面向高精尖经济结构的现代服务业创新研究</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3.京津冀地区社会经济与生态环境协同发展研究</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4.北京能源供给、消费、排放及其系统的优化研究</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5.科技成果转化的新机制、新模式与制度环境研究</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6.科学技术前沿领域与新兴方向的挖掘与资助</w:t>
      </w:r>
    </w:p>
    <w:p>
      <w:pPr>
        <w:pStyle w:val="10"/>
        <w:pageBreakBefore w:val="0"/>
        <w:kinsoku/>
        <w:wordWrap/>
        <w:overflowPunct/>
        <w:topLinePunct w:val="0"/>
        <w:autoSpaceDE/>
        <w:autoSpaceDN/>
        <w:bidi w:val="0"/>
        <w:adjustRightInd/>
        <w:spacing w:line="560" w:lineRule="exact"/>
        <w:ind w:firstLine="6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7.面向创新贡献的科学基金资助绩效评估研究</w:t>
      </w:r>
    </w:p>
    <w:p>
      <w:pPr>
        <w:pStyle w:val="10"/>
        <w:pageBreakBefore w:val="0"/>
        <w:kinsoku/>
        <w:wordWrap/>
        <w:overflowPunct/>
        <w:topLinePunct w:val="0"/>
        <w:autoSpaceDE/>
        <w:autoSpaceDN/>
        <w:bidi w:val="0"/>
        <w:adjustRightInd/>
        <w:spacing w:line="560" w:lineRule="exact"/>
        <w:ind w:firstLine="600"/>
        <w:textAlignment w:val="auto"/>
        <w:rPr>
          <w:rFonts w:ascii="Times New Roman" w:hAnsi="Times New Roman"/>
          <w:color w:val="auto"/>
          <w:sz w:val="32"/>
          <w:szCs w:val="32"/>
          <w:highlight w:val="none"/>
        </w:rPr>
      </w:pPr>
      <w:r>
        <w:rPr>
          <w:rFonts w:hint="eastAsia" w:ascii="Times New Roman" w:hAnsi="Times New Roman"/>
          <w:color w:val="auto"/>
          <w:sz w:val="32"/>
          <w:szCs w:val="32"/>
          <w:highlight w:val="none"/>
        </w:rPr>
        <w:t>8.科学基金专利产出质量及转化潜力评估研究</w:t>
      </w:r>
    </w:p>
    <w:p>
      <w:pPr>
        <w:pStyle w:val="3"/>
      </w:pP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OTAxMjY2ZGI2MjM4NGNkNzhjY2IzODAxZmU2YjIifQ=="/>
  </w:docVars>
  <w:rsids>
    <w:rsidRoot w:val="00000000"/>
    <w:rsid w:val="4414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eastAsia="宋体" w:cs="Courier New"/>
      <w:szCs w:val="21"/>
    </w:rPr>
  </w:style>
  <w:style w:type="paragraph" w:styleId="3">
    <w:name w:val="Body Text"/>
    <w:basedOn w:val="1"/>
    <w:qFormat/>
    <w:uiPriority w:val="0"/>
    <w:pPr>
      <w:spacing w:after="120"/>
    </w:pPr>
    <w:rPr>
      <w:szCs w:val="24"/>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Body Text First Indent 2"/>
    <w:basedOn w:val="4"/>
    <w:qFormat/>
    <w:uiPriority w:val="0"/>
    <w:pPr>
      <w:ind w:firstLine="420"/>
    </w:pPr>
  </w:style>
  <w:style w:type="paragraph" w:customStyle="1" w:styleId="9">
    <w:name w:val="1文章标题"/>
    <w:basedOn w:val="1"/>
    <w:next w:val="10"/>
    <w:qFormat/>
    <w:uiPriority w:val="0"/>
    <w:pPr>
      <w:keepNext/>
      <w:keepLines/>
      <w:widowControl/>
      <w:spacing w:line="640" w:lineRule="exact"/>
      <w:jc w:val="center"/>
      <w:outlineLvl w:val="0"/>
    </w:pPr>
    <w:rPr>
      <w:rFonts w:ascii="方正小标宋_GBK" w:eastAsia="方正小标宋_GBK"/>
      <w:sz w:val="44"/>
    </w:rPr>
  </w:style>
  <w:style w:type="paragraph" w:customStyle="1" w:styleId="10">
    <w:name w:val="1正文"/>
    <w:basedOn w:val="1"/>
    <w:qFormat/>
    <w:uiPriority w:val="0"/>
    <w:pPr>
      <w:snapToGrid w:val="0"/>
      <w:spacing w:line="560" w:lineRule="exact"/>
      <w:ind w:firstLine="200" w:firstLineChars="200"/>
    </w:pPr>
    <w:rPr>
      <w:rFonts w:ascii="仿宋_GB2312" w:eastAsia="仿宋_GB2312"/>
      <w:sz w:val="30"/>
      <w:szCs w:val="21"/>
    </w:rPr>
  </w:style>
  <w:style w:type="paragraph" w:customStyle="1" w:styleId="11">
    <w:name w:val="1文字居中"/>
    <w:basedOn w:val="10"/>
    <w:qFormat/>
    <w:uiPriority w:val="0"/>
    <w:pPr>
      <w:ind w:firstLine="0" w:firstLineChars="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拉风达人</cp:lastModifiedBy>
  <dcterms:modified xsi:type="dcterms:W3CDTF">2023-08-01T08:21:09Z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254149E611A5430E8CE9211490B22867_12</vt:lpwstr>
  </property>
</Properties>
</file>